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0373C" w14:textId="525A38BB" w:rsidR="000B0DEF" w:rsidRPr="00C10F55" w:rsidRDefault="001B111B" w:rsidP="001C7D63">
      <w:pPr>
        <w:tabs>
          <w:tab w:val="left" w:pos="2210"/>
          <w:tab w:val="left" w:pos="2352"/>
        </w:tabs>
        <w:spacing w:after="0" w:line="240" w:lineRule="auto"/>
        <w:jc w:val="both"/>
        <w:rPr>
          <w:rFonts w:ascii="Times New Roman" w:eastAsia="Times New Roman" w:hAnsi="Times New Roman" w:cs="David"/>
          <w:b/>
          <w:bCs/>
          <w:spacing w:val="12"/>
          <w:sz w:val="26"/>
          <w:szCs w:val="26"/>
          <w:lang w:eastAsia="he-IL" w:bidi="he-IL"/>
        </w:rPr>
      </w:pPr>
      <w:r w:rsidRPr="00C10F55">
        <w:rPr>
          <w:rFonts w:ascii="Times New Roman" w:eastAsia="Times New Roman" w:hAnsi="Times New Roman" w:cs="David"/>
          <w:b/>
          <w:bCs/>
          <w:spacing w:val="12"/>
          <w:sz w:val="26"/>
          <w:szCs w:val="26"/>
          <w:rtl/>
          <w:lang w:eastAsia="he-IL"/>
        </w:rPr>
        <w:t>בבית משפט השלום בהרצליה</w:t>
      </w:r>
      <w:r w:rsidR="001C7D63" w:rsidRPr="00C10F55">
        <w:rPr>
          <w:rFonts w:ascii="Times New Roman" w:eastAsia="Times New Roman" w:hAnsi="Times New Roman" w:cs="David"/>
          <w:b/>
          <w:bCs/>
          <w:spacing w:val="12"/>
          <w:sz w:val="26"/>
          <w:szCs w:val="26"/>
          <w:rtl/>
          <w:lang w:eastAsia="he-IL" w:bidi="he-IL"/>
        </w:rPr>
        <w:tab/>
      </w:r>
      <w:r w:rsidR="001C7D63" w:rsidRPr="00C10F55">
        <w:rPr>
          <w:rFonts w:ascii="Times New Roman" w:eastAsia="Times New Roman" w:hAnsi="Times New Roman" w:cs="David"/>
          <w:b/>
          <w:bCs/>
          <w:spacing w:val="12"/>
          <w:sz w:val="26"/>
          <w:szCs w:val="26"/>
          <w:rtl/>
          <w:lang w:eastAsia="he-IL" w:bidi="he-IL"/>
        </w:rPr>
        <w:tab/>
      </w:r>
      <w:r w:rsidR="001C7D63" w:rsidRPr="00C10F55">
        <w:rPr>
          <w:rFonts w:ascii="Times New Roman" w:eastAsia="Times New Roman" w:hAnsi="Times New Roman" w:cs="David"/>
          <w:b/>
          <w:bCs/>
          <w:spacing w:val="12"/>
          <w:sz w:val="26"/>
          <w:szCs w:val="26"/>
          <w:rtl/>
          <w:lang w:eastAsia="he-IL" w:bidi="he-IL"/>
        </w:rPr>
        <w:tab/>
      </w:r>
      <w:r w:rsidRPr="00C10F55">
        <w:rPr>
          <w:rFonts w:ascii="Times New Roman" w:eastAsia="Times New Roman" w:hAnsi="Times New Roman" w:cs="David"/>
          <w:b/>
          <w:bCs/>
          <w:spacing w:val="12"/>
          <w:sz w:val="26"/>
          <w:szCs w:val="26"/>
          <w:rtl/>
          <w:lang w:eastAsia="he-IL"/>
        </w:rPr>
        <w:t>ת״א ________–___–________</w:t>
      </w:r>
    </w:p>
    <w:p w14:paraId="14CA49EF" w14:textId="77777777" w:rsidR="001C7D63" w:rsidRDefault="001C7D63" w:rsidP="001C7D63">
      <w:pPr>
        <w:tabs>
          <w:tab w:val="left" w:pos="2210"/>
          <w:tab w:val="left" w:pos="2352"/>
        </w:tabs>
        <w:spacing w:after="0" w:line="240" w:lineRule="auto"/>
        <w:jc w:val="both"/>
        <w:rPr>
          <w:rFonts w:ascii="Times New Roman" w:eastAsia="Times New Roman" w:hAnsi="Times New Roman" w:cs="David"/>
          <w:b/>
          <w:bCs/>
          <w:spacing w:val="12"/>
          <w:sz w:val="26"/>
          <w:szCs w:val="26"/>
          <w:rtl/>
          <w:lang w:eastAsia="he-IL" w:bidi="he-IL"/>
        </w:rPr>
      </w:pPr>
    </w:p>
    <w:p w14:paraId="533C074C" w14:textId="77777777" w:rsidR="001C7D63" w:rsidRDefault="001C7D63" w:rsidP="001C7D63">
      <w:pPr>
        <w:tabs>
          <w:tab w:val="left" w:pos="2210"/>
          <w:tab w:val="left" w:pos="2352"/>
        </w:tabs>
        <w:spacing w:after="0" w:line="240" w:lineRule="auto"/>
        <w:jc w:val="both"/>
        <w:rPr>
          <w:rFonts w:ascii="Times New Roman" w:eastAsia="Times New Roman" w:hAnsi="Times New Roman" w:cs="David"/>
          <w:b/>
          <w:bCs/>
          <w:spacing w:val="12"/>
          <w:sz w:val="26"/>
          <w:szCs w:val="26"/>
          <w:rtl/>
          <w:lang w:eastAsia="he-IL" w:bidi="he-IL"/>
        </w:rPr>
      </w:pPr>
    </w:p>
    <w:p w14:paraId="1B9D38BD" w14:textId="77777777" w:rsidR="00C10F55" w:rsidRDefault="00C10F55" w:rsidP="001C7D63">
      <w:pPr>
        <w:tabs>
          <w:tab w:val="left" w:pos="2210"/>
          <w:tab w:val="left" w:pos="2352"/>
        </w:tabs>
        <w:spacing w:after="0" w:line="240" w:lineRule="auto"/>
        <w:jc w:val="both"/>
        <w:rPr>
          <w:rFonts w:ascii="Times New Roman" w:eastAsia="Times New Roman" w:hAnsi="Times New Roman" w:cs="David"/>
          <w:b/>
          <w:bCs/>
          <w:spacing w:val="12"/>
          <w:sz w:val="26"/>
          <w:szCs w:val="26"/>
          <w:rtl/>
          <w:lang w:eastAsia="he-IL" w:bidi="he-IL"/>
        </w:rPr>
      </w:pPr>
    </w:p>
    <w:p w14:paraId="18B7759D" w14:textId="77777777" w:rsidR="00C10F55" w:rsidRDefault="00C10F55" w:rsidP="001C7D63">
      <w:pPr>
        <w:tabs>
          <w:tab w:val="left" w:pos="2210"/>
          <w:tab w:val="left" w:pos="2352"/>
        </w:tabs>
        <w:spacing w:after="0" w:line="240" w:lineRule="auto"/>
        <w:jc w:val="both"/>
        <w:rPr>
          <w:rFonts w:ascii="Times New Roman" w:eastAsia="Times New Roman" w:hAnsi="Times New Roman" w:cs="David"/>
          <w:b/>
          <w:bCs/>
          <w:spacing w:val="12"/>
          <w:sz w:val="26"/>
          <w:szCs w:val="26"/>
          <w:rtl/>
          <w:lang w:eastAsia="he-IL" w:bidi="he-IL"/>
        </w:rPr>
      </w:pPr>
    </w:p>
    <w:p w14:paraId="4F8C5F94" w14:textId="3E51C5E2" w:rsidR="000B0DEF" w:rsidRPr="001C7D63" w:rsidRDefault="001B111B" w:rsidP="001C7D63">
      <w:pPr>
        <w:tabs>
          <w:tab w:val="left" w:pos="2210"/>
          <w:tab w:val="left" w:pos="2352"/>
        </w:tabs>
        <w:spacing w:after="0" w:line="240" w:lineRule="auto"/>
        <w:jc w:val="both"/>
        <w:rPr>
          <w:rFonts w:ascii="Times New Roman" w:eastAsia="Times New Roman" w:hAnsi="Times New Roman" w:cs="David"/>
          <w:b/>
          <w:bCs/>
          <w:spacing w:val="12"/>
          <w:sz w:val="26"/>
          <w:szCs w:val="26"/>
          <w:lang w:eastAsia="he-IL" w:bidi="he-IL"/>
        </w:rPr>
      </w:pPr>
      <w:r w:rsidRPr="001C7D63">
        <w:rPr>
          <w:rFonts w:ascii="Times New Roman" w:eastAsia="Times New Roman" w:hAnsi="Times New Roman" w:cs="David"/>
          <w:b/>
          <w:bCs/>
          <w:spacing w:val="12"/>
          <w:sz w:val="26"/>
          <w:szCs w:val="26"/>
          <w:rtl/>
          <w:lang w:eastAsia="he-IL"/>
        </w:rPr>
        <w:t>התובע:</w:t>
      </w:r>
      <w:r w:rsidR="001C7D63">
        <w:rPr>
          <w:rFonts w:ascii="Times New Roman" w:eastAsia="Times New Roman" w:hAnsi="Times New Roman" w:cs="David"/>
          <w:b/>
          <w:bCs/>
          <w:spacing w:val="12"/>
          <w:sz w:val="26"/>
          <w:szCs w:val="26"/>
          <w:rtl/>
          <w:lang w:eastAsia="he-IL" w:bidi="he-IL"/>
        </w:rPr>
        <w:tab/>
      </w:r>
      <w:r w:rsidR="001C7D63" w:rsidRPr="001C7D63">
        <w:rPr>
          <w:rFonts w:ascii="Times New Roman" w:eastAsia="Times New Roman" w:hAnsi="Times New Roman" w:cs="David"/>
          <w:b/>
          <w:bCs/>
          <w:spacing w:val="12"/>
          <w:sz w:val="26"/>
          <w:szCs w:val="26"/>
          <w:rtl/>
          <w:lang w:eastAsia="he-IL" w:bidi="he-IL"/>
        </w:rPr>
        <w:tab/>
      </w:r>
      <w:r w:rsidRPr="001C7D63">
        <w:rPr>
          <w:rFonts w:ascii="Times New Roman" w:eastAsia="Times New Roman" w:hAnsi="Times New Roman" w:cs="David"/>
          <w:b/>
          <w:bCs/>
          <w:spacing w:val="12"/>
          <w:sz w:val="26"/>
          <w:szCs w:val="26"/>
          <w:rtl/>
          <w:lang w:eastAsia="he-IL"/>
        </w:rPr>
        <w:t>פנחס בנימין, ת״ז 056597321</w:t>
      </w:r>
    </w:p>
    <w:p w14:paraId="573B82BC" w14:textId="34147EE9" w:rsidR="000B0DEF" w:rsidRPr="001C7D63" w:rsidRDefault="001C7D63" w:rsidP="001C7D63">
      <w:pPr>
        <w:tabs>
          <w:tab w:val="left" w:pos="2210"/>
          <w:tab w:val="left" w:pos="2352"/>
        </w:tabs>
        <w:spacing w:after="0" w:line="240" w:lineRule="auto"/>
        <w:jc w:val="both"/>
        <w:rPr>
          <w:rFonts w:ascii="Times New Roman" w:eastAsia="Times New Roman" w:hAnsi="Times New Roman" w:cs="David"/>
          <w:spacing w:val="12"/>
          <w:sz w:val="26"/>
          <w:szCs w:val="26"/>
          <w:lang w:eastAsia="he-IL" w:bidi="he-IL"/>
        </w:rPr>
      </w:pPr>
      <w:r>
        <w:rPr>
          <w:rFonts w:ascii="Times New Roman" w:eastAsia="Times New Roman" w:hAnsi="Times New Roman" w:cs="David"/>
          <w:spacing w:val="12"/>
          <w:sz w:val="26"/>
          <w:szCs w:val="26"/>
          <w:rtl/>
          <w:lang w:eastAsia="he-IL" w:bidi="he-IL"/>
        </w:rPr>
        <w:tab/>
      </w:r>
      <w:r>
        <w:rPr>
          <w:rFonts w:ascii="Times New Roman" w:eastAsia="Times New Roman" w:hAnsi="Times New Roman" w:cs="David"/>
          <w:spacing w:val="12"/>
          <w:sz w:val="26"/>
          <w:szCs w:val="26"/>
          <w:rtl/>
          <w:lang w:eastAsia="he-IL" w:bidi="he-IL"/>
        </w:rPr>
        <w:tab/>
      </w:r>
      <w:r w:rsidR="001B111B" w:rsidRPr="001C7D63">
        <w:rPr>
          <w:rFonts w:ascii="Times New Roman" w:eastAsia="Times New Roman" w:hAnsi="Times New Roman" w:cs="David"/>
          <w:spacing w:val="12"/>
          <w:sz w:val="26"/>
          <w:szCs w:val="26"/>
          <w:rtl/>
          <w:lang w:eastAsia="he-IL"/>
        </w:rPr>
        <w:t>מרח׳ יסוד המעלה 4, הרצליה 4631004</w:t>
      </w:r>
    </w:p>
    <w:p w14:paraId="3FF11FA5" w14:textId="7ED76278" w:rsidR="001C7D63" w:rsidRPr="00D32E62" w:rsidRDefault="001C7D63" w:rsidP="001C7D63">
      <w:pPr>
        <w:pStyle w:val="ae"/>
        <w:ind w:left="1440"/>
        <w:jc w:val="left"/>
        <w:rPr>
          <w:rFonts w:cs="David"/>
          <w:sz w:val="26"/>
          <w:szCs w:val="26"/>
          <w:rtl/>
        </w:rPr>
      </w:pPr>
      <w:r>
        <w:rPr>
          <w:rFonts w:ascii="Times New Roman" w:eastAsia="Times New Roman" w:hAnsi="Times New Roman" w:cs="David"/>
          <w:spacing w:val="12"/>
          <w:sz w:val="26"/>
          <w:szCs w:val="26"/>
          <w:rtl/>
          <w:lang w:eastAsia="he-IL" w:bidi="he-IL"/>
        </w:rPr>
        <w:tab/>
      </w:r>
      <w:r>
        <w:rPr>
          <w:rFonts w:ascii="Times New Roman" w:eastAsia="Times New Roman" w:hAnsi="Times New Roman" w:cs="David" w:hint="cs"/>
          <w:spacing w:val="12"/>
          <w:sz w:val="26"/>
          <w:szCs w:val="26"/>
          <w:rtl/>
          <w:lang w:eastAsia="he-IL" w:bidi="he-IL"/>
        </w:rPr>
        <w:t xml:space="preserve">  </w:t>
      </w:r>
      <w:r>
        <w:rPr>
          <w:rFonts w:cs="David" w:hint="cs"/>
          <w:sz w:val="26"/>
          <w:szCs w:val="26"/>
          <w:rtl/>
          <w:lang w:bidi="he-IL"/>
        </w:rPr>
        <w:t xml:space="preserve"> </w:t>
      </w:r>
      <w:r w:rsidRPr="00D32E62">
        <w:rPr>
          <w:rFonts w:cs="David" w:hint="cs"/>
          <w:sz w:val="26"/>
          <w:szCs w:val="26"/>
          <w:rtl/>
        </w:rPr>
        <w:t>ע"י ב"כ עו"ד אריאל פרייברג</w:t>
      </w:r>
      <w:r>
        <w:rPr>
          <w:rFonts w:cs="David"/>
          <w:sz w:val="26"/>
          <w:szCs w:val="26"/>
        </w:rPr>
        <w:t xml:space="preserve"> </w:t>
      </w:r>
      <w:r>
        <w:rPr>
          <w:rFonts w:cs="David" w:hint="cs"/>
          <w:sz w:val="26"/>
          <w:szCs w:val="26"/>
          <w:rtl/>
        </w:rPr>
        <w:t xml:space="preserve"> (מ"ר 62254) ו/או יגאל רסקין</w:t>
      </w:r>
    </w:p>
    <w:p w14:paraId="2057D5F5" w14:textId="7109BB9D" w:rsidR="001C7D63" w:rsidRPr="00D32E62" w:rsidRDefault="001C7D63" w:rsidP="001C7D63">
      <w:pPr>
        <w:pStyle w:val="ae"/>
        <w:ind w:left="0"/>
        <w:jc w:val="left"/>
        <w:rPr>
          <w:rFonts w:cs="David"/>
          <w:sz w:val="26"/>
          <w:szCs w:val="26"/>
          <w:rtl/>
        </w:rPr>
      </w:pPr>
      <w:r w:rsidRPr="00D32E62">
        <w:rPr>
          <w:rFonts w:cs="David"/>
          <w:sz w:val="26"/>
          <w:szCs w:val="26"/>
          <w:rtl/>
        </w:rPr>
        <w:tab/>
      </w:r>
      <w:r w:rsidRPr="00D32E62">
        <w:rPr>
          <w:rFonts w:cs="David"/>
          <w:sz w:val="26"/>
          <w:szCs w:val="26"/>
          <w:rtl/>
        </w:rPr>
        <w:tab/>
      </w:r>
      <w:r>
        <w:rPr>
          <w:rFonts w:cs="David"/>
          <w:sz w:val="26"/>
          <w:szCs w:val="26"/>
          <w:rtl/>
          <w:lang w:bidi="he-IL"/>
        </w:rPr>
        <w:tab/>
      </w:r>
      <w:r>
        <w:rPr>
          <w:rFonts w:cs="David" w:hint="cs"/>
          <w:sz w:val="26"/>
          <w:szCs w:val="26"/>
          <w:rtl/>
          <w:lang w:bidi="he-IL"/>
        </w:rPr>
        <w:t xml:space="preserve">    </w:t>
      </w:r>
      <w:r w:rsidRPr="00D32E62">
        <w:rPr>
          <w:rFonts w:cs="David" w:hint="cs"/>
          <w:sz w:val="26"/>
          <w:szCs w:val="26"/>
          <w:rtl/>
        </w:rPr>
        <w:t>מרח' אבא הלל 7 , רמת גן</w:t>
      </w:r>
    </w:p>
    <w:p w14:paraId="64B7E9C0" w14:textId="1DA9315C" w:rsidR="001C7D63" w:rsidRPr="00D32E62" w:rsidRDefault="001C7D63" w:rsidP="001C7D63">
      <w:pPr>
        <w:pStyle w:val="ae"/>
        <w:ind w:left="0"/>
        <w:jc w:val="left"/>
        <w:rPr>
          <w:rFonts w:cs="David"/>
          <w:sz w:val="26"/>
          <w:szCs w:val="26"/>
          <w:rtl/>
        </w:rPr>
      </w:pPr>
      <w:r>
        <w:rPr>
          <w:rFonts w:cs="David" w:hint="cs"/>
          <w:sz w:val="26"/>
          <w:szCs w:val="26"/>
          <w:rtl/>
          <w:lang w:bidi="he-IL"/>
        </w:rPr>
        <w:t xml:space="preserve">   </w:t>
      </w:r>
      <w:r w:rsidRPr="00D32E62">
        <w:rPr>
          <w:rFonts w:cs="David"/>
          <w:sz w:val="26"/>
          <w:szCs w:val="26"/>
          <w:rtl/>
        </w:rPr>
        <w:tab/>
      </w:r>
      <w:r w:rsidRPr="00D32E62">
        <w:rPr>
          <w:rFonts w:cs="David"/>
          <w:sz w:val="26"/>
          <w:szCs w:val="26"/>
          <w:rtl/>
        </w:rPr>
        <w:tab/>
      </w:r>
      <w:r>
        <w:rPr>
          <w:rFonts w:cs="David"/>
          <w:sz w:val="26"/>
          <w:szCs w:val="26"/>
          <w:rtl/>
          <w:lang w:bidi="he-IL"/>
        </w:rPr>
        <w:tab/>
      </w:r>
      <w:r>
        <w:rPr>
          <w:rFonts w:cs="David" w:hint="cs"/>
          <w:sz w:val="26"/>
          <w:szCs w:val="26"/>
          <w:rtl/>
          <w:lang w:bidi="he-IL"/>
        </w:rPr>
        <w:t xml:space="preserve">    </w:t>
      </w:r>
      <w:r w:rsidRPr="00D32E62">
        <w:rPr>
          <w:rFonts w:cs="David" w:hint="cs"/>
          <w:sz w:val="26"/>
          <w:szCs w:val="26"/>
          <w:rtl/>
        </w:rPr>
        <w:t>טל' : 03-7412358  ,  פקס: 077-3180983</w:t>
      </w:r>
    </w:p>
    <w:p w14:paraId="7E8F4B1B" w14:textId="77777777" w:rsidR="001C7D63" w:rsidRDefault="001C7D63" w:rsidP="001C7D63">
      <w:pPr>
        <w:spacing w:line="360" w:lineRule="auto"/>
        <w:jc w:val="left"/>
        <w:rPr>
          <w:rStyle w:val="Hyperlink"/>
          <w:rFonts w:cs="David"/>
          <w:color w:val="auto"/>
          <w:spacing w:val="12"/>
          <w:sz w:val="26"/>
          <w:szCs w:val="26"/>
          <w:u w:val="none"/>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hyperlink r:id="rId6" w:history="1">
        <w:r w:rsidRPr="00A3250D">
          <w:rPr>
            <w:rStyle w:val="Hyperlink"/>
            <w:rFonts w:cs="David"/>
            <w:color w:val="auto"/>
            <w:spacing w:val="12"/>
            <w:sz w:val="26"/>
            <w:szCs w:val="26"/>
            <w:u w:val="none"/>
          </w:rPr>
          <w:t>office@freiberg-law.com</w:t>
        </w:r>
      </w:hyperlink>
    </w:p>
    <w:p w14:paraId="3D9C7E92" w14:textId="258FB5C2" w:rsidR="000B0DEF" w:rsidRPr="001C7D63" w:rsidRDefault="001C7D63" w:rsidP="001C7D63">
      <w:pPr>
        <w:tabs>
          <w:tab w:val="left" w:pos="2210"/>
          <w:tab w:val="left" w:pos="2352"/>
        </w:tabs>
        <w:spacing w:after="0" w:line="240" w:lineRule="auto"/>
        <w:jc w:val="both"/>
        <w:rPr>
          <w:rFonts w:ascii="Times New Roman" w:eastAsia="Times New Roman" w:hAnsi="Times New Roman" w:cs="David"/>
          <w:b/>
          <w:bCs/>
          <w:spacing w:val="12"/>
          <w:sz w:val="32"/>
          <w:szCs w:val="32"/>
          <w:lang w:eastAsia="he-IL" w:bidi="he-IL"/>
        </w:rPr>
      </w:pPr>
      <w:r>
        <w:rPr>
          <w:rFonts w:ascii="Times New Roman" w:eastAsia="Times New Roman" w:hAnsi="Times New Roman" w:cs="David"/>
          <w:spacing w:val="12"/>
          <w:sz w:val="26"/>
          <w:szCs w:val="26"/>
          <w:rtl/>
          <w:lang w:eastAsia="he-IL" w:bidi="he-IL"/>
        </w:rPr>
        <w:tab/>
      </w:r>
      <w:r>
        <w:rPr>
          <w:rFonts w:ascii="Times New Roman" w:eastAsia="Times New Roman" w:hAnsi="Times New Roman" w:cs="David"/>
          <w:spacing w:val="12"/>
          <w:sz w:val="26"/>
          <w:szCs w:val="26"/>
          <w:rtl/>
          <w:lang w:eastAsia="he-IL" w:bidi="he-IL"/>
        </w:rPr>
        <w:tab/>
      </w:r>
      <w:r>
        <w:rPr>
          <w:rFonts w:ascii="Times New Roman" w:eastAsia="Times New Roman" w:hAnsi="Times New Roman" w:cs="David"/>
          <w:spacing w:val="12"/>
          <w:sz w:val="26"/>
          <w:szCs w:val="26"/>
          <w:rtl/>
          <w:lang w:eastAsia="he-IL" w:bidi="he-IL"/>
        </w:rPr>
        <w:tab/>
      </w:r>
      <w:r>
        <w:rPr>
          <w:rFonts w:ascii="Times New Roman" w:eastAsia="Times New Roman" w:hAnsi="Times New Roman" w:cs="David"/>
          <w:spacing w:val="12"/>
          <w:sz w:val="26"/>
          <w:szCs w:val="26"/>
          <w:rtl/>
          <w:lang w:eastAsia="he-IL" w:bidi="he-IL"/>
        </w:rPr>
        <w:tab/>
      </w:r>
      <w:r w:rsidR="001B111B" w:rsidRPr="001C7D63">
        <w:rPr>
          <w:rFonts w:ascii="Times New Roman" w:eastAsia="Times New Roman" w:hAnsi="Times New Roman" w:cs="David"/>
          <w:b/>
          <w:bCs/>
          <w:spacing w:val="12"/>
          <w:sz w:val="32"/>
          <w:szCs w:val="32"/>
          <w:rtl/>
          <w:lang w:eastAsia="he-IL"/>
        </w:rPr>
        <w:t>נ ג ד</w:t>
      </w:r>
    </w:p>
    <w:p w14:paraId="0A8C1B0F" w14:textId="6C7BDF57" w:rsidR="000B0DEF" w:rsidRPr="001C7D63" w:rsidRDefault="001B111B" w:rsidP="001C7D63">
      <w:pPr>
        <w:tabs>
          <w:tab w:val="left" w:pos="2210"/>
          <w:tab w:val="left" w:pos="2352"/>
        </w:tabs>
        <w:spacing w:after="0" w:line="240" w:lineRule="auto"/>
        <w:jc w:val="both"/>
        <w:rPr>
          <w:rFonts w:ascii="Times New Roman" w:eastAsia="Times New Roman" w:hAnsi="Times New Roman" w:cs="David"/>
          <w:b/>
          <w:bCs/>
          <w:spacing w:val="12"/>
          <w:sz w:val="26"/>
          <w:szCs w:val="26"/>
          <w:lang w:eastAsia="he-IL" w:bidi="he-IL"/>
        </w:rPr>
      </w:pPr>
      <w:r w:rsidRPr="001C7D63">
        <w:rPr>
          <w:rFonts w:ascii="Times New Roman" w:eastAsia="Times New Roman" w:hAnsi="Times New Roman" w:cs="David"/>
          <w:b/>
          <w:bCs/>
          <w:spacing w:val="12"/>
          <w:sz w:val="26"/>
          <w:szCs w:val="26"/>
          <w:rtl/>
          <w:lang w:eastAsia="he-IL"/>
        </w:rPr>
        <w:t>הנתבעים:</w:t>
      </w:r>
      <w:r w:rsidR="001C7D63">
        <w:rPr>
          <w:rFonts w:ascii="Times New Roman" w:eastAsia="Times New Roman" w:hAnsi="Times New Roman" w:cs="David"/>
          <w:b/>
          <w:bCs/>
          <w:spacing w:val="12"/>
          <w:sz w:val="26"/>
          <w:szCs w:val="26"/>
          <w:rtl/>
          <w:lang w:eastAsia="he-IL" w:bidi="he-IL"/>
        </w:rPr>
        <w:tab/>
      </w:r>
      <w:r w:rsidR="001C7D63">
        <w:rPr>
          <w:rFonts w:ascii="Times New Roman" w:eastAsia="Times New Roman" w:hAnsi="Times New Roman" w:cs="David"/>
          <w:b/>
          <w:bCs/>
          <w:spacing w:val="12"/>
          <w:sz w:val="26"/>
          <w:szCs w:val="26"/>
          <w:rtl/>
          <w:lang w:eastAsia="he-IL" w:bidi="he-IL"/>
        </w:rPr>
        <w:tab/>
      </w:r>
      <w:r w:rsidRPr="001C7D63">
        <w:rPr>
          <w:rFonts w:ascii="Times New Roman" w:eastAsia="Times New Roman" w:hAnsi="Times New Roman" w:cs="David"/>
          <w:spacing w:val="12"/>
          <w:sz w:val="26"/>
          <w:szCs w:val="26"/>
          <w:rtl/>
          <w:lang w:eastAsia="he-IL"/>
        </w:rPr>
        <w:t>1</w:t>
      </w:r>
      <w:r w:rsidRPr="001C7D63">
        <w:rPr>
          <w:rFonts w:ascii="Times New Roman" w:eastAsia="Times New Roman" w:hAnsi="Times New Roman" w:cs="David"/>
          <w:b/>
          <w:bCs/>
          <w:spacing w:val="12"/>
          <w:sz w:val="26"/>
          <w:szCs w:val="26"/>
          <w:rtl/>
          <w:lang w:eastAsia="he-IL"/>
        </w:rPr>
        <w:t>.</w:t>
      </w:r>
      <w:r w:rsidRPr="001C7D63">
        <w:rPr>
          <w:rFonts w:ascii="Times New Roman" w:eastAsia="Times New Roman" w:hAnsi="Times New Roman" w:cs="David"/>
          <w:spacing w:val="12"/>
          <w:sz w:val="26"/>
          <w:szCs w:val="26"/>
          <w:rtl/>
          <w:lang w:eastAsia="he-IL"/>
        </w:rPr>
        <w:t xml:space="preserve"> </w:t>
      </w:r>
      <w:r w:rsidRPr="001C7D63">
        <w:rPr>
          <w:rFonts w:ascii="Times New Roman" w:eastAsia="Times New Roman" w:hAnsi="Times New Roman" w:cs="David"/>
          <w:b/>
          <w:bCs/>
          <w:spacing w:val="12"/>
          <w:sz w:val="26"/>
          <w:szCs w:val="26"/>
          <w:rtl/>
          <w:lang w:eastAsia="he-IL"/>
        </w:rPr>
        <w:t>מר דרור נחשון, סוכן ביטוח</w:t>
      </w:r>
    </w:p>
    <w:p w14:paraId="3BF6C466" w14:textId="153C8C46" w:rsidR="000B0DEF" w:rsidRDefault="001C7D63" w:rsidP="001C7D63">
      <w:pPr>
        <w:tabs>
          <w:tab w:val="left" w:pos="2210"/>
          <w:tab w:val="left" w:pos="2352"/>
        </w:tabs>
        <w:spacing w:after="0" w:line="240" w:lineRule="auto"/>
        <w:jc w:val="both"/>
        <w:rPr>
          <w:rFonts w:ascii="Times New Roman" w:eastAsia="Times New Roman" w:hAnsi="Times New Roman" w:cs="David"/>
          <w:spacing w:val="12"/>
          <w:sz w:val="26"/>
          <w:szCs w:val="26"/>
          <w:rtl/>
          <w:lang w:eastAsia="he-IL" w:bidi="he-IL"/>
        </w:rPr>
      </w:pPr>
      <w:r>
        <w:rPr>
          <w:rFonts w:ascii="Times New Roman" w:eastAsia="Times New Roman" w:hAnsi="Times New Roman" w:cs="David"/>
          <w:spacing w:val="12"/>
          <w:sz w:val="26"/>
          <w:szCs w:val="26"/>
          <w:rtl/>
          <w:lang w:eastAsia="he-IL" w:bidi="he-IL"/>
        </w:rPr>
        <w:tab/>
      </w:r>
      <w:r w:rsidR="001B111B" w:rsidRPr="001C7D63">
        <w:rPr>
          <w:rFonts w:ascii="Times New Roman" w:eastAsia="Times New Roman" w:hAnsi="Times New Roman" w:cs="David"/>
          <w:spacing w:val="12"/>
          <w:sz w:val="26"/>
          <w:szCs w:val="26"/>
          <w:rtl/>
          <w:lang w:eastAsia="he-IL"/>
        </w:rPr>
        <w:t xml:space="preserve">   (מס׳ רישיון 068907625; מס׳ סוכן 16386)</w:t>
      </w:r>
    </w:p>
    <w:p w14:paraId="113D088B" w14:textId="77777777" w:rsidR="00FC3943" w:rsidRPr="001C7D63" w:rsidRDefault="00FC3943" w:rsidP="001C7D63">
      <w:pPr>
        <w:tabs>
          <w:tab w:val="left" w:pos="2210"/>
          <w:tab w:val="left" w:pos="2352"/>
        </w:tabs>
        <w:spacing w:after="0" w:line="240" w:lineRule="auto"/>
        <w:jc w:val="both"/>
        <w:rPr>
          <w:rFonts w:ascii="Times New Roman" w:eastAsia="Times New Roman" w:hAnsi="Times New Roman" w:cs="David"/>
          <w:spacing w:val="12"/>
          <w:sz w:val="26"/>
          <w:szCs w:val="26"/>
          <w:lang w:eastAsia="he-IL" w:bidi="he-IL"/>
        </w:rPr>
      </w:pPr>
    </w:p>
    <w:p w14:paraId="04D94E81" w14:textId="1658A89B" w:rsidR="000B0DEF" w:rsidRPr="001C7D63" w:rsidRDefault="001C7D63" w:rsidP="001C7D63">
      <w:pPr>
        <w:tabs>
          <w:tab w:val="left" w:pos="2210"/>
          <w:tab w:val="left" w:pos="2352"/>
        </w:tabs>
        <w:spacing w:after="0" w:line="240" w:lineRule="auto"/>
        <w:jc w:val="both"/>
        <w:rPr>
          <w:rFonts w:ascii="Times New Roman" w:eastAsia="Times New Roman" w:hAnsi="Times New Roman" w:cs="David"/>
          <w:spacing w:val="12"/>
          <w:sz w:val="26"/>
          <w:szCs w:val="26"/>
          <w:lang w:eastAsia="he-IL" w:bidi="he-IL"/>
        </w:rPr>
      </w:pPr>
      <w:r>
        <w:rPr>
          <w:rFonts w:ascii="Times New Roman" w:eastAsia="Times New Roman" w:hAnsi="Times New Roman" w:cs="David" w:hint="cs"/>
          <w:spacing w:val="12"/>
          <w:sz w:val="26"/>
          <w:szCs w:val="26"/>
          <w:rtl/>
          <w:lang w:eastAsia="he-IL" w:bidi="he-IL"/>
        </w:rPr>
        <w:t xml:space="preserve"> </w:t>
      </w:r>
      <w:r>
        <w:rPr>
          <w:rFonts w:ascii="Times New Roman" w:eastAsia="Times New Roman" w:hAnsi="Times New Roman" w:cs="David"/>
          <w:spacing w:val="12"/>
          <w:sz w:val="26"/>
          <w:szCs w:val="26"/>
          <w:rtl/>
          <w:lang w:eastAsia="he-IL" w:bidi="he-IL"/>
        </w:rPr>
        <w:tab/>
      </w:r>
      <w:r>
        <w:rPr>
          <w:rFonts w:ascii="Times New Roman" w:eastAsia="Times New Roman" w:hAnsi="Times New Roman" w:cs="David" w:hint="cs"/>
          <w:spacing w:val="12"/>
          <w:sz w:val="26"/>
          <w:szCs w:val="26"/>
          <w:rtl/>
          <w:lang w:eastAsia="he-IL" w:bidi="he-IL"/>
        </w:rPr>
        <w:t xml:space="preserve">  </w:t>
      </w:r>
      <w:r w:rsidR="001B111B" w:rsidRPr="001C7D63">
        <w:rPr>
          <w:rFonts w:ascii="Times New Roman" w:eastAsia="Times New Roman" w:hAnsi="Times New Roman" w:cs="David"/>
          <w:b/>
          <w:bCs/>
          <w:spacing w:val="12"/>
          <w:sz w:val="26"/>
          <w:szCs w:val="26"/>
          <w:rtl/>
          <w:lang w:eastAsia="he-IL"/>
        </w:rPr>
        <w:t>2</w:t>
      </w:r>
      <w:r w:rsidR="001B111B" w:rsidRPr="001C7D63">
        <w:rPr>
          <w:rFonts w:ascii="Times New Roman" w:eastAsia="Times New Roman" w:hAnsi="Times New Roman" w:cs="David"/>
          <w:spacing w:val="12"/>
          <w:sz w:val="26"/>
          <w:szCs w:val="26"/>
          <w:rtl/>
          <w:lang w:eastAsia="he-IL"/>
        </w:rPr>
        <w:t xml:space="preserve">. </w:t>
      </w:r>
      <w:r w:rsidR="001B111B" w:rsidRPr="001C7D63">
        <w:rPr>
          <w:rFonts w:ascii="Times New Roman" w:eastAsia="Times New Roman" w:hAnsi="Times New Roman" w:cs="David"/>
          <w:b/>
          <w:bCs/>
          <w:spacing w:val="12"/>
          <w:sz w:val="26"/>
          <w:szCs w:val="26"/>
          <w:rtl/>
          <w:lang w:eastAsia="he-IL"/>
        </w:rPr>
        <w:t xml:space="preserve">דרור נחשון סוכנות לביטוח </w:t>
      </w:r>
    </w:p>
    <w:p w14:paraId="1FA56F5A" w14:textId="24E580F7" w:rsidR="000B0DEF" w:rsidRPr="001C7D63" w:rsidRDefault="001C7D63" w:rsidP="001C7D63">
      <w:pPr>
        <w:tabs>
          <w:tab w:val="left" w:pos="2210"/>
          <w:tab w:val="left" w:pos="2352"/>
        </w:tabs>
        <w:spacing w:after="0" w:line="240" w:lineRule="auto"/>
        <w:jc w:val="both"/>
        <w:rPr>
          <w:rFonts w:ascii="Times New Roman" w:eastAsia="Times New Roman" w:hAnsi="Times New Roman" w:cs="David"/>
          <w:spacing w:val="12"/>
          <w:sz w:val="26"/>
          <w:szCs w:val="26"/>
          <w:lang w:eastAsia="he-IL" w:bidi="he-IL"/>
        </w:rPr>
      </w:pPr>
      <w:r>
        <w:rPr>
          <w:rFonts w:ascii="Times New Roman" w:eastAsia="Times New Roman" w:hAnsi="Times New Roman" w:cs="David"/>
          <w:spacing w:val="12"/>
          <w:sz w:val="26"/>
          <w:szCs w:val="26"/>
          <w:rtl/>
          <w:lang w:eastAsia="he-IL" w:bidi="he-IL"/>
        </w:rPr>
        <w:tab/>
      </w:r>
      <w:r>
        <w:rPr>
          <w:rFonts w:ascii="Times New Roman" w:eastAsia="Times New Roman" w:hAnsi="Times New Roman" w:cs="David" w:hint="cs"/>
          <w:spacing w:val="12"/>
          <w:sz w:val="26"/>
          <w:szCs w:val="26"/>
          <w:rtl/>
          <w:lang w:eastAsia="he-IL" w:bidi="he-IL"/>
        </w:rPr>
        <w:t xml:space="preserve">     </w:t>
      </w:r>
      <w:r w:rsidR="001B111B" w:rsidRPr="001C7D63">
        <w:rPr>
          <w:rFonts w:ascii="Times New Roman" w:eastAsia="Times New Roman" w:hAnsi="Times New Roman" w:cs="David"/>
          <w:spacing w:val="12"/>
          <w:sz w:val="26"/>
          <w:szCs w:val="26"/>
          <w:rtl/>
          <w:lang w:eastAsia="he-IL"/>
        </w:rPr>
        <w:t>שניהם מרח׳ הדר 2, הרצליה 4629025</w:t>
      </w:r>
    </w:p>
    <w:p w14:paraId="28AD83EC" w14:textId="7EB6DF8E" w:rsidR="000B0DEF" w:rsidRDefault="001C7D63" w:rsidP="001C7D63">
      <w:pPr>
        <w:tabs>
          <w:tab w:val="left" w:pos="2210"/>
          <w:tab w:val="left" w:pos="2352"/>
        </w:tabs>
        <w:spacing w:after="0" w:line="240" w:lineRule="auto"/>
        <w:jc w:val="both"/>
        <w:rPr>
          <w:rFonts w:ascii="Times New Roman" w:eastAsia="Times New Roman" w:hAnsi="Times New Roman" w:cs="David"/>
          <w:spacing w:val="12"/>
          <w:sz w:val="26"/>
          <w:szCs w:val="26"/>
          <w:rtl/>
          <w:lang w:eastAsia="he-IL" w:bidi="he-IL"/>
        </w:rPr>
      </w:pPr>
      <w:r>
        <w:rPr>
          <w:rFonts w:ascii="Times New Roman" w:eastAsia="Times New Roman" w:hAnsi="Times New Roman" w:cs="David"/>
          <w:spacing w:val="12"/>
          <w:sz w:val="26"/>
          <w:szCs w:val="26"/>
          <w:rtl/>
          <w:lang w:eastAsia="he-IL" w:bidi="he-IL"/>
        </w:rPr>
        <w:tab/>
      </w:r>
      <w:r>
        <w:rPr>
          <w:rFonts w:ascii="Times New Roman" w:eastAsia="Times New Roman" w:hAnsi="Times New Roman" w:cs="David"/>
          <w:spacing w:val="12"/>
          <w:sz w:val="26"/>
          <w:szCs w:val="26"/>
          <w:rtl/>
          <w:lang w:eastAsia="he-IL" w:bidi="he-IL"/>
        </w:rPr>
        <w:tab/>
      </w:r>
      <w:r>
        <w:rPr>
          <w:rFonts w:ascii="Times New Roman" w:eastAsia="Times New Roman" w:hAnsi="Times New Roman" w:cs="David" w:hint="cs"/>
          <w:spacing w:val="12"/>
          <w:sz w:val="26"/>
          <w:szCs w:val="26"/>
          <w:rtl/>
          <w:lang w:eastAsia="he-IL" w:bidi="he-IL"/>
        </w:rPr>
        <w:t xml:space="preserve">    </w:t>
      </w:r>
      <w:r w:rsidR="001B111B" w:rsidRPr="001C7D63">
        <w:rPr>
          <w:rFonts w:ascii="Times New Roman" w:eastAsia="Times New Roman" w:hAnsi="Times New Roman" w:cs="David"/>
          <w:spacing w:val="12"/>
          <w:sz w:val="26"/>
          <w:szCs w:val="26"/>
          <w:rtl/>
          <w:lang w:eastAsia="he-IL"/>
        </w:rPr>
        <w:t>טל׳: 09-9533030</w:t>
      </w:r>
    </w:p>
    <w:p w14:paraId="498984DE" w14:textId="77777777" w:rsidR="00FC3943" w:rsidRPr="001C7D63" w:rsidRDefault="00FC3943" w:rsidP="001C7D63">
      <w:pPr>
        <w:tabs>
          <w:tab w:val="left" w:pos="2210"/>
          <w:tab w:val="left" w:pos="2352"/>
        </w:tabs>
        <w:spacing w:after="0" w:line="240" w:lineRule="auto"/>
        <w:jc w:val="both"/>
        <w:rPr>
          <w:rFonts w:ascii="Times New Roman" w:eastAsia="Times New Roman" w:hAnsi="Times New Roman" w:cs="David"/>
          <w:spacing w:val="12"/>
          <w:sz w:val="26"/>
          <w:szCs w:val="26"/>
          <w:lang w:eastAsia="he-IL" w:bidi="he-IL"/>
        </w:rPr>
      </w:pPr>
    </w:p>
    <w:p w14:paraId="22D420ED" w14:textId="4BCF171F" w:rsidR="00450436" w:rsidRPr="00FC3943" w:rsidRDefault="001C7D63" w:rsidP="00FC3943">
      <w:pPr>
        <w:tabs>
          <w:tab w:val="left" w:pos="2210"/>
          <w:tab w:val="left" w:pos="2352"/>
        </w:tabs>
        <w:spacing w:after="0" w:line="240" w:lineRule="auto"/>
        <w:jc w:val="both"/>
        <w:rPr>
          <w:rFonts w:ascii="Times New Roman" w:eastAsia="Times New Roman" w:hAnsi="Times New Roman" w:cs="David"/>
          <w:b/>
          <w:bCs/>
          <w:spacing w:val="12"/>
          <w:sz w:val="26"/>
          <w:szCs w:val="26"/>
          <w:rtl/>
          <w:lang w:eastAsia="he-IL" w:bidi="he-IL"/>
        </w:rPr>
      </w:pPr>
      <w:r w:rsidRPr="00FC3943">
        <w:rPr>
          <w:rFonts w:ascii="Times New Roman" w:eastAsia="Times New Roman" w:hAnsi="Times New Roman" w:cs="David"/>
          <w:b/>
          <w:bCs/>
          <w:spacing w:val="12"/>
          <w:sz w:val="26"/>
          <w:szCs w:val="26"/>
          <w:rtl/>
          <w:lang w:eastAsia="he-IL" w:bidi="he-IL"/>
        </w:rPr>
        <w:tab/>
      </w:r>
      <w:r w:rsidRPr="00FC3943">
        <w:rPr>
          <w:rFonts w:ascii="Times New Roman" w:eastAsia="Times New Roman" w:hAnsi="Times New Roman" w:cs="David"/>
          <w:b/>
          <w:bCs/>
          <w:spacing w:val="12"/>
          <w:sz w:val="26"/>
          <w:szCs w:val="26"/>
          <w:rtl/>
          <w:lang w:eastAsia="he-IL" w:bidi="he-IL"/>
        </w:rPr>
        <w:tab/>
      </w:r>
      <w:r w:rsidR="00450436" w:rsidRPr="00FC3943">
        <w:rPr>
          <w:rFonts w:ascii="Times New Roman" w:eastAsia="Times New Roman" w:hAnsi="Times New Roman" w:cs="David" w:hint="cs"/>
          <w:b/>
          <w:bCs/>
          <w:spacing w:val="12"/>
          <w:sz w:val="26"/>
          <w:szCs w:val="26"/>
          <w:rtl/>
          <w:lang w:eastAsia="he-IL" w:bidi="he-IL"/>
        </w:rPr>
        <w:t>3</w:t>
      </w:r>
      <w:r w:rsidR="00450436" w:rsidRPr="001C7D63">
        <w:rPr>
          <w:rFonts w:ascii="Times New Roman" w:eastAsia="Times New Roman" w:hAnsi="Times New Roman" w:cs="David" w:hint="cs"/>
          <w:b/>
          <w:bCs/>
          <w:spacing w:val="12"/>
          <w:sz w:val="26"/>
          <w:szCs w:val="26"/>
          <w:rtl/>
          <w:lang w:eastAsia="he-IL" w:bidi="he-IL"/>
        </w:rPr>
        <w:t>. איילון חברה לביטוח בע"מ</w:t>
      </w:r>
    </w:p>
    <w:p w14:paraId="6B907B5B" w14:textId="40ADCD57" w:rsidR="00FC3943" w:rsidRPr="00FC3943" w:rsidRDefault="00FC3943" w:rsidP="00FC3943">
      <w:pPr>
        <w:tabs>
          <w:tab w:val="left" w:pos="2210"/>
          <w:tab w:val="left" w:pos="2352"/>
        </w:tabs>
        <w:spacing w:after="0" w:line="240" w:lineRule="auto"/>
        <w:jc w:val="both"/>
        <w:rPr>
          <w:rFonts w:ascii="Times New Roman" w:eastAsia="Times New Roman" w:hAnsi="Times New Roman" w:cs="David"/>
          <w:spacing w:val="12"/>
          <w:sz w:val="26"/>
          <w:szCs w:val="26"/>
          <w:rtl/>
          <w:lang w:eastAsia="he-IL" w:bidi="he-IL"/>
        </w:rPr>
      </w:pPr>
      <w:r>
        <w:rPr>
          <w:rFonts w:ascii="Times New Roman" w:eastAsia="Times New Roman" w:hAnsi="Times New Roman" w:cs="David"/>
          <w:spacing w:val="12"/>
          <w:sz w:val="26"/>
          <w:szCs w:val="26"/>
          <w:rtl/>
          <w:lang w:eastAsia="he-IL" w:bidi="he-IL"/>
        </w:rPr>
        <w:tab/>
      </w:r>
      <w:r>
        <w:rPr>
          <w:rFonts w:ascii="Times New Roman" w:eastAsia="Times New Roman" w:hAnsi="Times New Roman" w:cs="David"/>
          <w:spacing w:val="12"/>
          <w:sz w:val="26"/>
          <w:szCs w:val="26"/>
          <w:rtl/>
          <w:lang w:eastAsia="he-IL" w:bidi="he-IL"/>
        </w:rPr>
        <w:tab/>
      </w:r>
      <w:r>
        <w:rPr>
          <w:rFonts w:ascii="Times New Roman" w:eastAsia="Times New Roman" w:hAnsi="Times New Roman" w:cs="David" w:hint="cs"/>
          <w:spacing w:val="12"/>
          <w:sz w:val="26"/>
          <w:szCs w:val="26"/>
          <w:rtl/>
          <w:lang w:eastAsia="he-IL" w:bidi="he-IL"/>
        </w:rPr>
        <w:t xml:space="preserve">     </w:t>
      </w:r>
      <w:r w:rsidRPr="00FC3943">
        <w:rPr>
          <w:rFonts w:ascii="Times New Roman" w:eastAsia="Times New Roman" w:hAnsi="Times New Roman" w:cs="David" w:hint="cs"/>
          <w:spacing w:val="12"/>
          <w:sz w:val="26"/>
          <w:szCs w:val="26"/>
          <w:rtl/>
          <w:lang w:eastAsia="he-IL"/>
        </w:rPr>
        <w:t xml:space="preserve">מרחוב </w:t>
      </w:r>
      <w:r w:rsidRPr="00FC3943">
        <w:rPr>
          <w:rFonts w:ascii="Times New Roman" w:eastAsia="Times New Roman" w:hAnsi="Times New Roman" w:cs="David"/>
          <w:spacing w:val="12"/>
          <w:sz w:val="26"/>
          <w:szCs w:val="26"/>
          <w:rtl/>
          <w:lang w:eastAsia="he-IL"/>
        </w:rPr>
        <w:t>אבא הלל 12, רמת גן</w:t>
      </w:r>
    </w:p>
    <w:p w14:paraId="4CED8516" w14:textId="78227C56" w:rsidR="00FC3943" w:rsidRPr="00FC3943" w:rsidRDefault="00FC3943" w:rsidP="00FC3943">
      <w:pPr>
        <w:tabs>
          <w:tab w:val="left" w:pos="2210"/>
          <w:tab w:val="left" w:pos="2352"/>
        </w:tabs>
        <w:spacing w:after="0" w:line="240" w:lineRule="auto"/>
        <w:jc w:val="both"/>
        <w:rPr>
          <w:rFonts w:ascii="Times New Roman" w:eastAsia="Times New Roman" w:hAnsi="Times New Roman" w:cs="David"/>
          <w:spacing w:val="12"/>
          <w:sz w:val="26"/>
          <w:szCs w:val="26"/>
          <w:rtl/>
          <w:lang w:eastAsia="he-IL" w:bidi="he-IL"/>
        </w:rPr>
      </w:pPr>
      <w:r>
        <w:rPr>
          <w:rFonts w:ascii="Times New Roman" w:eastAsia="Times New Roman" w:hAnsi="Times New Roman" w:cs="David"/>
          <w:spacing w:val="12"/>
          <w:sz w:val="26"/>
          <w:szCs w:val="26"/>
          <w:rtl/>
          <w:lang w:eastAsia="he-IL" w:bidi="he-IL"/>
        </w:rPr>
        <w:tab/>
      </w:r>
      <w:r>
        <w:rPr>
          <w:rFonts w:ascii="Times New Roman" w:eastAsia="Times New Roman" w:hAnsi="Times New Roman" w:cs="David"/>
          <w:spacing w:val="12"/>
          <w:sz w:val="26"/>
          <w:szCs w:val="26"/>
          <w:rtl/>
          <w:lang w:eastAsia="he-IL" w:bidi="he-IL"/>
        </w:rPr>
        <w:tab/>
      </w:r>
      <w:r>
        <w:rPr>
          <w:rFonts w:ascii="Times New Roman" w:eastAsia="Times New Roman" w:hAnsi="Times New Roman" w:cs="David" w:hint="cs"/>
          <w:spacing w:val="12"/>
          <w:sz w:val="26"/>
          <w:szCs w:val="26"/>
          <w:rtl/>
          <w:lang w:eastAsia="he-IL" w:bidi="he-IL"/>
        </w:rPr>
        <w:t xml:space="preserve">     </w:t>
      </w:r>
      <w:r w:rsidRPr="00FC3943">
        <w:rPr>
          <w:rFonts w:ascii="Times New Roman" w:eastAsia="Times New Roman" w:hAnsi="Times New Roman" w:cs="David" w:hint="cs"/>
          <w:spacing w:val="12"/>
          <w:sz w:val="26"/>
          <w:szCs w:val="26"/>
          <w:rtl/>
          <w:lang w:eastAsia="he-IL"/>
        </w:rPr>
        <w:t xml:space="preserve"> </w:t>
      </w:r>
      <w:r w:rsidRPr="00FC3943">
        <w:rPr>
          <w:rFonts w:ascii="Times New Roman" w:eastAsia="Times New Roman" w:hAnsi="Times New Roman" w:cs="David"/>
          <w:spacing w:val="12"/>
          <w:sz w:val="26"/>
          <w:szCs w:val="26"/>
          <w:rtl/>
          <w:lang w:eastAsia="he-IL"/>
        </w:rPr>
        <w:t>טל': *6677;פקס: 03-7569580</w:t>
      </w:r>
    </w:p>
    <w:p w14:paraId="40DD80E4" w14:textId="77777777" w:rsidR="00FC3943" w:rsidRPr="00450436" w:rsidRDefault="00FC3943" w:rsidP="00FC3943">
      <w:pPr>
        <w:spacing w:after="80"/>
        <w:ind w:left="2880" w:firstLine="720"/>
        <w:jc w:val="both"/>
        <w:rPr>
          <w:bCs/>
          <w:sz w:val="24"/>
          <w:szCs w:val="24"/>
          <w:u w:val="single"/>
          <w:lang w:bidi="he-IL"/>
        </w:rPr>
      </w:pPr>
      <w:r w:rsidRPr="00450436">
        <w:rPr>
          <w:rFonts w:eastAsia="David" w:cs="David"/>
          <w:bCs/>
          <w:sz w:val="34"/>
          <w:szCs w:val="34"/>
          <w:u w:val="single"/>
          <w:rtl/>
        </w:rPr>
        <w:t>כתב תביעה</w:t>
      </w:r>
    </w:p>
    <w:p w14:paraId="17A941B0" w14:textId="77777777" w:rsidR="00FC3943" w:rsidRDefault="00FC3943" w:rsidP="001C7D63">
      <w:pPr>
        <w:tabs>
          <w:tab w:val="left" w:pos="2210"/>
          <w:tab w:val="left" w:pos="2352"/>
        </w:tabs>
        <w:spacing w:after="0" w:line="240" w:lineRule="auto"/>
        <w:jc w:val="both"/>
        <w:rPr>
          <w:rFonts w:ascii="Times New Roman" w:eastAsia="Times New Roman" w:hAnsi="Times New Roman" w:cs="David"/>
          <w:spacing w:val="12"/>
          <w:sz w:val="26"/>
          <w:szCs w:val="26"/>
          <w:rtl/>
          <w:lang w:eastAsia="he-IL"/>
        </w:rPr>
      </w:pPr>
    </w:p>
    <w:p w14:paraId="7F540756" w14:textId="139E3021" w:rsidR="005041E1" w:rsidRPr="00771641" w:rsidRDefault="005041E1" w:rsidP="005041E1">
      <w:pPr>
        <w:tabs>
          <w:tab w:val="left" w:pos="2590"/>
        </w:tabs>
        <w:spacing w:after="0"/>
        <w:ind w:left="2268" w:hanging="2268"/>
        <w:jc w:val="left"/>
        <w:rPr>
          <w:rFonts w:eastAsia="David" w:cs="David"/>
          <w:b/>
          <w:sz w:val="26"/>
          <w:szCs w:val="26"/>
          <w:rtl/>
        </w:rPr>
      </w:pPr>
      <w:r w:rsidRPr="00771641">
        <w:rPr>
          <w:rFonts w:eastAsia="David" w:cs="David"/>
          <w:b/>
          <w:sz w:val="26"/>
          <w:szCs w:val="26"/>
          <w:rtl/>
        </w:rPr>
        <w:t>מהות התביעה:</w:t>
      </w:r>
      <w:r w:rsidRPr="00771641">
        <w:rPr>
          <w:rFonts w:eastAsia="David" w:cs="David"/>
          <w:b/>
          <w:sz w:val="26"/>
          <w:szCs w:val="26"/>
          <w:rtl/>
          <w:lang w:bidi="he-IL"/>
        </w:rPr>
        <w:tab/>
      </w:r>
      <w:r w:rsidRPr="00771641">
        <w:rPr>
          <w:rFonts w:eastAsia="David" w:cs="David"/>
          <w:b/>
          <w:sz w:val="26"/>
          <w:szCs w:val="26"/>
          <w:rtl/>
        </w:rPr>
        <w:t xml:space="preserve"> 131 חוזים</w:t>
      </w:r>
      <w:r w:rsidRPr="00771641">
        <w:rPr>
          <w:rFonts w:eastAsia="David" w:cs="David"/>
          <w:b/>
          <w:sz w:val="26"/>
          <w:szCs w:val="26"/>
          <w:rtl/>
        </w:rPr>
        <w:tab/>
      </w:r>
    </w:p>
    <w:p w14:paraId="73041985" w14:textId="77777777" w:rsidR="005041E1" w:rsidRPr="00771641" w:rsidRDefault="005041E1" w:rsidP="00450436">
      <w:pPr>
        <w:spacing w:after="120"/>
        <w:jc w:val="left"/>
        <w:rPr>
          <w:rFonts w:eastAsia="David" w:cs="David"/>
          <w:b/>
          <w:sz w:val="26"/>
          <w:szCs w:val="26"/>
          <w:rtl/>
          <w:lang w:bidi="he-IL"/>
        </w:rPr>
      </w:pPr>
    </w:p>
    <w:p w14:paraId="687C2953" w14:textId="1AE98B89" w:rsidR="000B0DEF" w:rsidRPr="00771641" w:rsidRDefault="001B111B" w:rsidP="005041E1">
      <w:pPr>
        <w:spacing w:after="120"/>
        <w:ind w:left="2160" w:hanging="2160"/>
        <w:jc w:val="left"/>
        <w:rPr>
          <w:sz w:val="26"/>
          <w:szCs w:val="26"/>
        </w:rPr>
      </w:pPr>
      <w:r w:rsidRPr="00771641">
        <w:rPr>
          <w:rFonts w:eastAsia="David" w:cs="David"/>
          <w:b/>
          <w:sz w:val="26"/>
          <w:szCs w:val="26"/>
          <w:rtl/>
        </w:rPr>
        <w:t>מהות התביעה:</w:t>
      </w:r>
      <w:r w:rsidR="005041E1" w:rsidRPr="00771641">
        <w:rPr>
          <w:rFonts w:eastAsia="David" w:cs="David"/>
          <w:b/>
          <w:sz w:val="26"/>
          <w:szCs w:val="26"/>
          <w:rtl/>
          <w:lang w:bidi="he-IL"/>
        </w:rPr>
        <w:tab/>
      </w:r>
      <w:r w:rsidRPr="00771641">
        <w:rPr>
          <w:rFonts w:eastAsia="David" w:cs="David"/>
          <w:bCs/>
          <w:sz w:val="26"/>
          <w:szCs w:val="26"/>
          <w:rtl/>
        </w:rPr>
        <w:t>תביעה כספית – רשלנות מקצועית של סוכן ביטוח, הפרת חובת נאמנות והפרת חובות חקוקות; פיצוי בגין אובדן תגמולי אובדן כושר עבודה</w:t>
      </w:r>
    </w:p>
    <w:p w14:paraId="7E4A4D7C" w14:textId="1706A42B" w:rsidR="000B0DEF" w:rsidRPr="00771641" w:rsidRDefault="001B111B" w:rsidP="00450436">
      <w:pPr>
        <w:spacing w:after="80"/>
        <w:jc w:val="left"/>
        <w:rPr>
          <w:sz w:val="26"/>
          <w:szCs w:val="26"/>
          <w:lang w:bidi="he-IL"/>
        </w:rPr>
      </w:pPr>
      <w:r w:rsidRPr="00771641">
        <w:rPr>
          <w:rFonts w:eastAsia="David" w:cs="David"/>
          <w:b/>
          <w:sz w:val="26"/>
          <w:szCs w:val="26"/>
          <w:rtl/>
        </w:rPr>
        <w:t>סכום התביעה:</w:t>
      </w:r>
      <w:r w:rsidR="005041E1" w:rsidRPr="00771641">
        <w:rPr>
          <w:rFonts w:eastAsia="David" w:cs="David"/>
          <w:b/>
          <w:sz w:val="26"/>
          <w:szCs w:val="26"/>
          <w:rtl/>
          <w:lang w:bidi="he-IL"/>
        </w:rPr>
        <w:tab/>
      </w:r>
      <w:r w:rsidR="005041E1" w:rsidRPr="00771641">
        <w:rPr>
          <w:rFonts w:eastAsia="David" w:cs="David"/>
          <w:b/>
          <w:sz w:val="26"/>
          <w:szCs w:val="26"/>
          <w:rtl/>
          <w:lang w:bidi="he-IL"/>
        </w:rPr>
        <w:tab/>
      </w:r>
      <w:r w:rsidRPr="00771641">
        <w:rPr>
          <w:rFonts w:eastAsia="David" w:cs="David"/>
          <w:b/>
          <w:sz w:val="26"/>
          <w:szCs w:val="26"/>
          <w:rtl/>
        </w:rPr>
        <w:t xml:space="preserve"> </w:t>
      </w:r>
      <w:r w:rsidR="00E70BA6" w:rsidRPr="00771641">
        <w:rPr>
          <w:rFonts w:eastAsia="David" w:cs="David" w:hint="cs"/>
          <w:b/>
          <w:sz w:val="26"/>
          <w:szCs w:val="26"/>
          <w:rtl/>
          <w:lang w:bidi="he-IL"/>
        </w:rPr>
        <w:t xml:space="preserve">87,654 ₪ </w:t>
      </w:r>
    </w:p>
    <w:p w14:paraId="2A70F524" w14:textId="00F8A74A" w:rsidR="00C10F55" w:rsidRPr="00771641" w:rsidRDefault="00C10F55" w:rsidP="00C10F55">
      <w:pPr>
        <w:jc w:val="both"/>
        <w:rPr>
          <w:rFonts w:cs="David"/>
          <w:spacing w:val="12"/>
          <w:sz w:val="26"/>
          <w:szCs w:val="26"/>
          <w:rtl/>
        </w:rPr>
      </w:pPr>
      <w:r w:rsidRPr="00771641">
        <w:rPr>
          <w:rFonts w:cs="David" w:hint="cs"/>
          <w:spacing w:val="12"/>
          <w:sz w:val="26"/>
          <w:szCs w:val="26"/>
          <w:u w:val="single"/>
          <w:rtl/>
        </w:rPr>
        <w:t>סכום האגרה</w:t>
      </w:r>
      <w:r w:rsidRPr="00771641">
        <w:rPr>
          <w:rFonts w:cs="David" w:hint="cs"/>
          <w:spacing w:val="12"/>
          <w:sz w:val="26"/>
          <w:szCs w:val="26"/>
          <w:rtl/>
        </w:rPr>
        <w:t>:</w:t>
      </w:r>
      <w:r w:rsidRPr="00771641">
        <w:rPr>
          <w:rFonts w:cs="David"/>
          <w:spacing w:val="12"/>
          <w:sz w:val="26"/>
          <w:szCs w:val="26"/>
          <w:rtl/>
        </w:rPr>
        <w:tab/>
      </w:r>
      <w:bookmarkStart w:id="0" w:name="OLE_LINK1"/>
      <w:r w:rsidR="00A75E10">
        <w:rPr>
          <w:rFonts w:cs="David" w:hint="cs"/>
          <w:spacing w:val="12"/>
          <w:sz w:val="26"/>
          <w:szCs w:val="26"/>
          <w:rtl/>
          <w:lang w:bidi="he-IL"/>
        </w:rPr>
        <w:t xml:space="preserve">1,580 </w:t>
      </w:r>
      <w:r w:rsidR="00A75E10" w:rsidRPr="00A75E10">
        <w:rPr>
          <w:rFonts w:cs="David"/>
          <w:szCs w:val="24"/>
          <w:rtl/>
        </w:rPr>
        <w:t>₪, בהתאם לסעיף 6 פרט 1 לתוספת לתקנות בתי המשפט (אגרות), התשס"ז – 2007.</w:t>
      </w:r>
    </w:p>
    <w:bookmarkEnd w:id="0"/>
    <w:p w14:paraId="28D660B1" w14:textId="77777777" w:rsidR="00C10F55" w:rsidRPr="00771641" w:rsidRDefault="00C10F55" w:rsidP="00C10F55">
      <w:pPr>
        <w:jc w:val="both"/>
        <w:rPr>
          <w:rFonts w:cs="David"/>
          <w:spacing w:val="12"/>
          <w:sz w:val="26"/>
          <w:szCs w:val="26"/>
          <w:rtl/>
          <w:lang w:bidi="he-IL"/>
        </w:rPr>
      </w:pPr>
      <w:r w:rsidRPr="00771641">
        <w:rPr>
          <w:rFonts w:cs="David" w:hint="cs"/>
          <w:spacing w:val="12"/>
          <w:sz w:val="26"/>
          <w:szCs w:val="26"/>
          <w:u w:val="single"/>
          <w:rtl/>
        </w:rPr>
        <w:t>תיקים קשורים:</w:t>
      </w:r>
      <w:r w:rsidRPr="00771641">
        <w:rPr>
          <w:rFonts w:cs="David" w:hint="cs"/>
          <w:spacing w:val="12"/>
          <w:sz w:val="26"/>
          <w:szCs w:val="26"/>
          <w:rtl/>
        </w:rPr>
        <w:t xml:space="preserve"> </w:t>
      </w:r>
      <w:r w:rsidRPr="00771641">
        <w:rPr>
          <w:rFonts w:cs="David"/>
          <w:spacing w:val="12"/>
          <w:sz w:val="26"/>
          <w:szCs w:val="26"/>
          <w:rtl/>
        </w:rPr>
        <w:tab/>
      </w:r>
      <w:r w:rsidRPr="00771641">
        <w:rPr>
          <w:rFonts w:cs="David" w:hint="cs"/>
          <w:spacing w:val="12"/>
          <w:sz w:val="26"/>
          <w:szCs w:val="26"/>
          <w:rtl/>
        </w:rPr>
        <w:t xml:space="preserve">לא קיימים תיקים קשורים. </w:t>
      </w:r>
    </w:p>
    <w:p w14:paraId="6392EB81" w14:textId="77777777" w:rsidR="00FE5ED2" w:rsidRDefault="00FE5ED2" w:rsidP="00C10F55">
      <w:pPr>
        <w:jc w:val="both"/>
        <w:rPr>
          <w:rFonts w:cs="David"/>
          <w:spacing w:val="12"/>
          <w:sz w:val="26"/>
          <w:szCs w:val="26"/>
          <w:rtl/>
          <w:lang w:bidi="he-IL"/>
        </w:rPr>
      </w:pPr>
    </w:p>
    <w:p w14:paraId="7AF80030" w14:textId="627721ED" w:rsidR="001C7D63" w:rsidRDefault="001C7D63" w:rsidP="001C7D63">
      <w:pPr>
        <w:jc w:val="both"/>
        <w:rPr>
          <w:rFonts w:cs="David"/>
          <w:spacing w:val="12"/>
          <w:sz w:val="26"/>
          <w:szCs w:val="26"/>
          <w:rtl/>
        </w:rPr>
      </w:pPr>
      <w:r>
        <w:rPr>
          <w:rFonts w:cs="David"/>
          <w:spacing w:val="12"/>
          <w:sz w:val="26"/>
          <w:szCs w:val="26"/>
          <w:rtl/>
        </w:rPr>
        <w:tab/>
      </w:r>
      <w:r>
        <w:rPr>
          <w:rFonts w:cs="David"/>
          <w:spacing w:val="12"/>
          <w:sz w:val="26"/>
          <w:szCs w:val="26"/>
          <w:rtl/>
        </w:rPr>
        <w:tab/>
      </w:r>
      <w:bookmarkStart w:id="1" w:name="_Hlk61960106"/>
      <w:r>
        <w:rPr>
          <w:rFonts w:cs="David"/>
          <w:spacing w:val="12"/>
          <w:sz w:val="26"/>
          <w:szCs w:val="26"/>
          <w:rtl/>
          <w:lang w:bidi="he-IL"/>
        </w:rPr>
        <w:tab/>
      </w:r>
      <w:r>
        <w:rPr>
          <w:rFonts w:cs="David"/>
          <w:spacing w:val="12"/>
          <w:sz w:val="26"/>
          <w:szCs w:val="26"/>
          <w:rtl/>
          <w:lang w:bidi="he-IL"/>
        </w:rPr>
        <w:tab/>
      </w:r>
      <w:r>
        <w:rPr>
          <w:rFonts w:cs="David"/>
          <w:spacing w:val="12"/>
          <w:sz w:val="26"/>
          <w:szCs w:val="26"/>
          <w:rtl/>
          <w:lang w:bidi="he-IL"/>
        </w:rPr>
        <w:tab/>
      </w:r>
      <w:r>
        <w:rPr>
          <w:rFonts w:cs="David" w:hint="cs"/>
          <w:spacing w:val="12"/>
          <w:sz w:val="26"/>
          <w:szCs w:val="26"/>
          <w:rtl/>
        </w:rPr>
        <w:t xml:space="preserve">הזמנה לדין (טופס 2 תקנה 10) </w:t>
      </w:r>
    </w:p>
    <w:p w14:paraId="174DBD53" w14:textId="77777777" w:rsidR="001C7D63" w:rsidRDefault="001C7D63" w:rsidP="001C7D63">
      <w:pPr>
        <w:jc w:val="both"/>
        <w:rPr>
          <w:rFonts w:cs="David"/>
          <w:spacing w:val="12"/>
          <w:sz w:val="26"/>
          <w:szCs w:val="26"/>
          <w:rtl/>
        </w:rPr>
      </w:pPr>
      <w:r>
        <w:rPr>
          <w:rFonts w:cs="David" w:hint="cs"/>
          <w:spacing w:val="12"/>
          <w:sz w:val="26"/>
          <w:szCs w:val="26"/>
          <w:rtl/>
        </w:rPr>
        <w:t xml:space="preserve">הואיל והתובע הגיש למחוז שיפוט זה כתב תביעה נגדך, המצורף בזאת, אתם מוזמנים להגיש כתב הגנה בתוך 60 ימים מיום שהומצאה לכם הזמנה זו. </w:t>
      </w:r>
    </w:p>
    <w:p w14:paraId="1C64C690" w14:textId="77777777" w:rsidR="001C7D63" w:rsidRDefault="001C7D63" w:rsidP="001C7D63">
      <w:pPr>
        <w:jc w:val="both"/>
        <w:rPr>
          <w:rFonts w:cs="David"/>
          <w:spacing w:val="12"/>
          <w:sz w:val="26"/>
          <w:szCs w:val="26"/>
          <w:rtl/>
        </w:rPr>
      </w:pPr>
    </w:p>
    <w:p w14:paraId="75237B97" w14:textId="2B540A9C" w:rsidR="001C7D63" w:rsidRDefault="001C7D63" w:rsidP="0089749F">
      <w:pPr>
        <w:jc w:val="both"/>
        <w:rPr>
          <w:rFonts w:cs="David"/>
          <w:spacing w:val="12"/>
          <w:sz w:val="26"/>
          <w:szCs w:val="26"/>
          <w:rtl/>
        </w:rPr>
      </w:pPr>
      <w:r>
        <w:rPr>
          <w:rFonts w:cs="David" w:hint="cs"/>
          <w:spacing w:val="12"/>
          <w:sz w:val="26"/>
          <w:szCs w:val="26"/>
          <w:rtl/>
        </w:rPr>
        <w:t xml:space="preserve">לתשומת ליבכם,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לתובע הזכות לקבל פסק דין שלא בפניך. </w:t>
      </w:r>
      <w:bookmarkEnd w:id="1"/>
    </w:p>
    <w:p w14:paraId="5227C848" w14:textId="77777777" w:rsidR="0089749F" w:rsidRDefault="0089749F" w:rsidP="0089749F">
      <w:pPr>
        <w:jc w:val="both"/>
        <w:rPr>
          <w:rFonts w:cs="David"/>
          <w:spacing w:val="12"/>
          <w:sz w:val="26"/>
          <w:szCs w:val="26"/>
          <w:rtl/>
        </w:rPr>
      </w:pPr>
    </w:p>
    <w:p w14:paraId="4F10AD47" w14:textId="05B7E0B1" w:rsidR="000B0DEF" w:rsidRPr="00450436" w:rsidRDefault="000B0DEF" w:rsidP="00C10F55">
      <w:pPr>
        <w:spacing w:after="160" w:line="360" w:lineRule="auto"/>
        <w:ind w:left="198" w:right="-426" w:hanging="284"/>
        <w:jc w:val="both"/>
        <w:rPr>
          <w:sz w:val="24"/>
          <w:szCs w:val="24"/>
          <w:lang w:bidi="he-IL"/>
        </w:rPr>
      </w:pPr>
    </w:p>
    <w:p w14:paraId="2C86D0F0" w14:textId="4CDE708B" w:rsidR="00C10F55" w:rsidRDefault="001B111B" w:rsidP="00771641">
      <w:pPr>
        <w:spacing w:after="0" w:line="240" w:lineRule="auto"/>
        <w:ind w:left="452" w:right="142" w:hanging="851"/>
        <w:jc w:val="both"/>
        <w:rPr>
          <w:rFonts w:cs="David"/>
          <w:spacing w:val="12"/>
          <w:sz w:val="26"/>
          <w:szCs w:val="26"/>
          <w:u w:val="single"/>
          <w:rtl/>
          <w:lang w:bidi="he-IL"/>
        </w:rPr>
      </w:pPr>
      <w:r w:rsidRPr="00C10F55">
        <w:rPr>
          <w:rFonts w:eastAsia="David" w:cs="David"/>
          <w:bCs/>
          <w:sz w:val="26"/>
          <w:szCs w:val="26"/>
          <w:rtl/>
        </w:rPr>
        <w:lastRenderedPageBreak/>
        <w:t>ב.</w:t>
      </w:r>
      <w:r w:rsidR="00771641">
        <w:rPr>
          <w:rFonts w:eastAsia="David" w:cs="David" w:hint="cs"/>
          <w:bCs/>
          <w:sz w:val="26"/>
          <w:szCs w:val="26"/>
          <w:rtl/>
          <w:lang w:bidi="he-IL"/>
        </w:rPr>
        <w:t xml:space="preserve"> </w:t>
      </w:r>
      <w:r w:rsidRPr="00C10F55">
        <w:rPr>
          <w:rFonts w:eastAsia="David" w:cs="David"/>
          <w:bCs/>
          <w:sz w:val="26"/>
          <w:szCs w:val="26"/>
          <w:rtl/>
        </w:rPr>
        <w:t xml:space="preserve"> </w:t>
      </w:r>
      <w:r w:rsidR="00C10F55" w:rsidRPr="00C10F55">
        <w:rPr>
          <w:rFonts w:cs="David" w:hint="cs"/>
          <w:b/>
          <w:bCs/>
          <w:spacing w:val="12"/>
          <w:sz w:val="26"/>
          <w:szCs w:val="26"/>
          <w:u w:val="single"/>
          <w:rtl/>
        </w:rPr>
        <w:t>בעלי הדין</w:t>
      </w:r>
      <w:r w:rsidR="00C10F55" w:rsidRPr="00C10F55">
        <w:rPr>
          <w:rFonts w:cs="David" w:hint="cs"/>
          <w:b/>
          <w:bCs/>
          <w:spacing w:val="12"/>
          <w:sz w:val="26"/>
          <w:szCs w:val="26"/>
          <w:rtl/>
        </w:rPr>
        <w:t xml:space="preserve"> : </w:t>
      </w:r>
    </w:p>
    <w:p w14:paraId="39632E98" w14:textId="77777777" w:rsidR="00FE5ED2" w:rsidRPr="00C10F55" w:rsidRDefault="00FE5ED2" w:rsidP="00C10F55">
      <w:pPr>
        <w:spacing w:after="0" w:line="240" w:lineRule="auto"/>
        <w:ind w:right="142"/>
        <w:jc w:val="both"/>
        <w:rPr>
          <w:rFonts w:cs="David"/>
          <w:spacing w:val="12"/>
          <w:sz w:val="26"/>
          <w:szCs w:val="26"/>
          <w:u w:val="single"/>
          <w:rtl/>
          <w:lang w:bidi="he-IL"/>
        </w:rPr>
      </w:pPr>
    </w:p>
    <w:p w14:paraId="0329D91E" w14:textId="15280DB1" w:rsidR="000B0DEF" w:rsidRDefault="001B111B" w:rsidP="00FC3943">
      <w:pPr>
        <w:numPr>
          <w:ilvl w:val="0"/>
          <w:numId w:val="13"/>
        </w:numPr>
        <w:spacing w:after="120" w:line="360" w:lineRule="auto"/>
        <w:ind w:right="142"/>
        <w:jc w:val="both"/>
        <w:rPr>
          <w:rFonts w:cs="David"/>
          <w:spacing w:val="12"/>
          <w:sz w:val="24"/>
          <w:szCs w:val="24"/>
        </w:rPr>
      </w:pPr>
      <w:r w:rsidRPr="00FC3943">
        <w:rPr>
          <w:rFonts w:cs="David"/>
          <w:spacing w:val="12"/>
          <w:sz w:val="24"/>
          <w:szCs w:val="24"/>
          <w:rtl/>
        </w:rPr>
        <w:t xml:space="preserve">התובע, פנחס בנימין, ת״ז 056597321, </w:t>
      </w:r>
      <w:r w:rsidR="00FE5ED2" w:rsidRPr="00FC3943">
        <w:rPr>
          <w:rFonts w:cs="David" w:hint="cs"/>
          <w:spacing w:val="12"/>
          <w:sz w:val="24"/>
          <w:szCs w:val="24"/>
          <w:rtl/>
          <w:lang w:bidi="he-IL"/>
        </w:rPr>
        <w:t>היה</w:t>
      </w:r>
      <w:r w:rsidRPr="00FC3943">
        <w:rPr>
          <w:rFonts w:cs="David"/>
          <w:spacing w:val="12"/>
          <w:sz w:val="24"/>
          <w:szCs w:val="24"/>
          <w:rtl/>
        </w:rPr>
        <w:t xml:space="preserve"> במועדים הרלוונטיים ע</w:t>
      </w:r>
      <w:r w:rsidR="00FE5ED2" w:rsidRPr="00FC3943">
        <w:rPr>
          <w:rFonts w:cs="David" w:hint="cs"/>
          <w:spacing w:val="12"/>
          <w:sz w:val="24"/>
          <w:szCs w:val="24"/>
          <w:rtl/>
          <w:lang w:bidi="he-IL"/>
        </w:rPr>
        <w:t>ו</w:t>
      </w:r>
      <w:r w:rsidRPr="00FC3943">
        <w:rPr>
          <w:rFonts w:cs="David"/>
          <w:spacing w:val="12"/>
          <w:sz w:val="24"/>
          <w:szCs w:val="24"/>
          <w:rtl/>
        </w:rPr>
        <w:t xml:space="preserve">בד </w:t>
      </w:r>
      <w:r w:rsidR="00450436" w:rsidRPr="00FC3943">
        <w:rPr>
          <w:rFonts w:cs="David" w:hint="cs"/>
          <w:spacing w:val="12"/>
          <w:sz w:val="24"/>
          <w:szCs w:val="24"/>
          <w:rtl/>
          <w:lang w:bidi="he-IL"/>
        </w:rPr>
        <w:t>בחברת</w:t>
      </w:r>
      <w:r w:rsidRPr="00FC3943">
        <w:rPr>
          <w:rFonts w:cs="David"/>
          <w:spacing w:val="12"/>
          <w:sz w:val="24"/>
          <w:szCs w:val="24"/>
          <w:rtl/>
        </w:rPr>
        <w:t xml:space="preserve"> מאגרים פרויקטים בע״מ (מיום 20.1.2016 ועד ליום 1.9.2025 לערך), והיה</w:t>
      </w:r>
      <w:r w:rsidR="00450436" w:rsidRPr="00FC3943">
        <w:rPr>
          <w:rFonts w:cs="David" w:hint="cs"/>
          <w:spacing w:val="12"/>
          <w:sz w:val="24"/>
          <w:szCs w:val="24"/>
          <w:rtl/>
          <w:lang w:bidi="he-IL"/>
        </w:rPr>
        <w:t xml:space="preserve"> אמור להיות</w:t>
      </w:r>
      <w:r w:rsidRPr="00FC3943">
        <w:rPr>
          <w:rFonts w:cs="David"/>
          <w:spacing w:val="12"/>
          <w:sz w:val="24"/>
          <w:szCs w:val="24"/>
          <w:rtl/>
        </w:rPr>
        <w:t xml:space="preserve"> מבוטח באמצעות הנתבעים </w:t>
      </w:r>
      <w:r w:rsidR="00450436" w:rsidRPr="00FC3943">
        <w:rPr>
          <w:rFonts w:cs="David" w:hint="cs"/>
          <w:spacing w:val="12"/>
          <w:sz w:val="24"/>
          <w:szCs w:val="24"/>
          <w:rtl/>
          <w:lang w:bidi="he-IL"/>
        </w:rPr>
        <w:t>1-2, בחברת</w:t>
      </w:r>
      <w:r w:rsidRPr="00FC3943">
        <w:rPr>
          <w:rFonts w:cs="David"/>
          <w:spacing w:val="12"/>
          <w:sz w:val="24"/>
          <w:szCs w:val="24"/>
          <w:rtl/>
        </w:rPr>
        <w:t xml:space="preserve"> מגדל חברה לביטוח בע״מ (להלן: "</w:t>
      </w:r>
      <w:r w:rsidRPr="00FC3943">
        <w:rPr>
          <w:rFonts w:cs="David"/>
          <w:b/>
          <w:bCs/>
          <w:spacing w:val="12"/>
          <w:sz w:val="24"/>
          <w:szCs w:val="24"/>
          <w:rtl/>
        </w:rPr>
        <w:t>מגדל</w:t>
      </w:r>
      <w:r w:rsidRPr="00FC3943">
        <w:rPr>
          <w:rFonts w:cs="David"/>
          <w:spacing w:val="12"/>
          <w:sz w:val="24"/>
          <w:szCs w:val="24"/>
          <w:rtl/>
        </w:rPr>
        <w:t>") בפוליסת ביטוח מנהלים מס׳ 400861609 מסוג "יותר", שכללה</w:t>
      </w:r>
      <w:r w:rsidR="00450436" w:rsidRPr="00FC3943">
        <w:rPr>
          <w:rFonts w:cs="David" w:hint="cs"/>
          <w:spacing w:val="12"/>
          <w:sz w:val="24"/>
          <w:szCs w:val="24"/>
          <w:rtl/>
          <w:lang w:bidi="he-IL"/>
        </w:rPr>
        <w:t xml:space="preserve"> ו/או הייתה צריכה לכלול</w:t>
      </w:r>
      <w:r w:rsidRPr="00FC3943">
        <w:rPr>
          <w:rFonts w:cs="David"/>
          <w:spacing w:val="12"/>
          <w:sz w:val="24"/>
          <w:szCs w:val="24"/>
          <w:rtl/>
        </w:rPr>
        <w:t>, בין היתר, כיסוי לאובדן כושר עבודה (להלן: "</w:t>
      </w:r>
      <w:r w:rsidRPr="00FC3943">
        <w:rPr>
          <w:rFonts w:cs="David"/>
          <w:b/>
          <w:bCs/>
          <w:spacing w:val="12"/>
          <w:sz w:val="24"/>
          <w:szCs w:val="24"/>
          <w:rtl/>
        </w:rPr>
        <w:t>אכ״ע</w:t>
      </w:r>
      <w:r w:rsidRPr="00FC3943">
        <w:rPr>
          <w:rFonts w:cs="David"/>
          <w:spacing w:val="12"/>
          <w:sz w:val="24"/>
          <w:szCs w:val="24"/>
          <w:rtl/>
        </w:rPr>
        <w:t>") מסוג "שלוה מורחב" עם תקופת המתנה של שלושה חודשים.</w:t>
      </w:r>
    </w:p>
    <w:p w14:paraId="7C1B1E5D" w14:textId="77777777" w:rsidR="00FE5ED2" w:rsidRDefault="001B111B" w:rsidP="00FC3943">
      <w:pPr>
        <w:numPr>
          <w:ilvl w:val="0"/>
          <w:numId w:val="13"/>
        </w:numPr>
        <w:spacing w:after="120" w:line="360" w:lineRule="auto"/>
        <w:ind w:right="142"/>
        <w:jc w:val="both"/>
        <w:rPr>
          <w:rFonts w:cs="David"/>
          <w:spacing w:val="12"/>
          <w:sz w:val="24"/>
          <w:szCs w:val="24"/>
        </w:rPr>
      </w:pPr>
      <w:r w:rsidRPr="00FC3943">
        <w:rPr>
          <w:rFonts w:cs="David"/>
          <w:spacing w:val="12"/>
          <w:sz w:val="24"/>
          <w:szCs w:val="24"/>
          <w:rtl/>
        </w:rPr>
        <w:t>הנתבע 1 הוא סוכן ביטוח; הנתבעת 2 היא סוכנות הביטוח שבאמצעותה בוטח</w:t>
      </w:r>
      <w:r w:rsidR="00FE5ED2" w:rsidRPr="00FC3943">
        <w:rPr>
          <w:rFonts w:cs="David" w:hint="cs"/>
          <w:spacing w:val="12"/>
          <w:sz w:val="24"/>
          <w:szCs w:val="24"/>
          <w:rtl/>
          <w:lang w:bidi="he-IL"/>
        </w:rPr>
        <w:t xml:space="preserve"> ו/או היה אמור להיות מבוטח</w:t>
      </w:r>
      <w:r w:rsidRPr="00FC3943">
        <w:rPr>
          <w:rFonts w:cs="David"/>
          <w:spacing w:val="12"/>
          <w:sz w:val="24"/>
          <w:szCs w:val="24"/>
          <w:rtl/>
        </w:rPr>
        <w:t xml:space="preserve"> התובע </w:t>
      </w:r>
      <w:r w:rsidR="00FE5ED2" w:rsidRPr="00FC3943">
        <w:rPr>
          <w:rFonts w:cs="David" w:hint="cs"/>
          <w:spacing w:val="12"/>
          <w:sz w:val="24"/>
          <w:szCs w:val="24"/>
          <w:rtl/>
          <w:lang w:bidi="he-IL"/>
        </w:rPr>
        <w:t>בחברת</w:t>
      </w:r>
      <w:r w:rsidRPr="00FC3943">
        <w:rPr>
          <w:rFonts w:cs="David"/>
          <w:spacing w:val="12"/>
          <w:sz w:val="24"/>
          <w:szCs w:val="24"/>
          <w:rtl/>
        </w:rPr>
        <w:t xml:space="preserve"> מגדל. </w:t>
      </w:r>
    </w:p>
    <w:p w14:paraId="187A92B8" w14:textId="37312313" w:rsidR="00FC3943" w:rsidRDefault="00FC3943" w:rsidP="00FC3943">
      <w:pPr>
        <w:numPr>
          <w:ilvl w:val="0"/>
          <w:numId w:val="13"/>
        </w:numPr>
        <w:spacing w:after="120" w:line="360" w:lineRule="auto"/>
        <w:ind w:right="142"/>
        <w:jc w:val="both"/>
        <w:rPr>
          <w:rFonts w:cs="David"/>
          <w:spacing w:val="12"/>
          <w:sz w:val="24"/>
          <w:szCs w:val="24"/>
        </w:rPr>
      </w:pPr>
      <w:r>
        <w:rPr>
          <w:rFonts w:cs="David" w:hint="cs"/>
          <w:spacing w:val="12"/>
          <w:sz w:val="24"/>
          <w:szCs w:val="24"/>
          <w:rtl/>
          <w:lang w:bidi="he-IL"/>
        </w:rPr>
        <w:t xml:space="preserve">הנתבעת 3 הינה חברת ביטוח אשר בכל הזמנים הרלוונטיים לתביעה זו ביטחה את הנתבעים 1 </w:t>
      </w:r>
      <w:r>
        <w:rPr>
          <w:rFonts w:cs="David"/>
          <w:spacing w:val="12"/>
          <w:sz w:val="24"/>
          <w:szCs w:val="24"/>
          <w:rtl/>
          <w:lang w:bidi="he-IL"/>
        </w:rPr>
        <w:t>–</w:t>
      </w:r>
      <w:r>
        <w:rPr>
          <w:rFonts w:cs="David" w:hint="cs"/>
          <w:spacing w:val="12"/>
          <w:sz w:val="24"/>
          <w:szCs w:val="24"/>
          <w:rtl/>
          <w:lang w:bidi="he-IL"/>
        </w:rPr>
        <w:t xml:space="preserve"> 2 בביטוח אחריות מקצועית.</w:t>
      </w:r>
    </w:p>
    <w:p w14:paraId="477A6CAB" w14:textId="2B972FF0" w:rsidR="000B0DEF" w:rsidRPr="00FC3943" w:rsidRDefault="001B111B" w:rsidP="00FC3943">
      <w:pPr>
        <w:numPr>
          <w:ilvl w:val="0"/>
          <w:numId w:val="13"/>
        </w:numPr>
        <w:spacing w:after="120" w:line="360" w:lineRule="auto"/>
        <w:ind w:right="142"/>
        <w:jc w:val="both"/>
        <w:rPr>
          <w:rFonts w:cs="David"/>
          <w:spacing w:val="12"/>
          <w:sz w:val="24"/>
          <w:szCs w:val="24"/>
        </w:rPr>
      </w:pPr>
      <w:r w:rsidRPr="00FC3943">
        <w:rPr>
          <w:rFonts w:cs="David"/>
          <w:spacing w:val="12"/>
          <w:sz w:val="24"/>
          <w:szCs w:val="24"/>
          <w:rtl/>
        </w:rPr>
        <w:t xml:space="preserve">לפי הדוח השנתי של מגדל לשנת 2024, הסוכן/יועץ המטופל בפוליסות התובע הוא נחשון דרור. הנתבעים פעלו כלפי התובע כסוכני ביטוח, </w:t>
      </w:r>
      <w:r w:rsidR="00FE5ED2" w:rsidRPr="00FC3943">
        <w:rPr>
          <w:rFonts w:cs="David" w:hint="cs"/>
          <w:spacing w:val="12"/>
          <w:sz w:val="24"/>
          <w:szCs w:val="24"/>
          <w:rtl/>
          <w:lang w:bidi="he-IL"/>
        </w:rPr>
        <w:t>וחבים</w:t>
      </w:r>
      <w:r w:rsidRPr="00FC3943">
        <w:rPr>
          <w:rFonts w:cs="David"/>
          <w:spacing w:val="12"/>
          <w:sz w:val="24"/>
          <w:szCs w:val="24"/>
          <w:rtl/>
        </w:rPr>
        <w:t xml:space="preserve"> כלפיו בחובות זהירות, נאמנות, גילוי וייעוץ מקצועי.</w:t>
      </w:r>
    </w:p>
    <w:p w14:paraId="222F1D77" w14:textId="315ED1BD" w:rsidR="005041E1" w:rsidRPr="00771641" w:rsidRDefault="005041E1" w:rsidP="00771641">
      <w:pPr>
        <w:spacing w:after="120" w:line="360" w:lineRule="auto"/>
        <w:ind w:right="142"/>
        <w:jc w:val="both"/>
        <w:rPr>
          <w:rFonts w:cs="David"/>
          <w:b/>
          <w:bCs/>
          <w:spacing w:val="12"/>
          <w:sz w:val="24"/>
          <w:szCs w:val="24"/>
          <w:u w:val="single"/>
          <w:rtl/>
          <w:lang w:bidi="he-IL"/>
        </w:rPr>
      </w:pPr>
      <w:r w:rsidRPr="00771641">
        <w:rPr>
          <w:rFonts w:cs="David" w:hint="cs"/>
          <w:b/>
          <w:bCs/>
          <w:spacing w:val="12"/>
          <w:sz w:val="24"/>
          <w:szCs w:val="24"/>
          <w:u w:val="single"/>
          <w:rtl/>
          <w:lang w:bidi="he-IL"/>
        </w:rPr>
        <w:t xml:space="preserve">ד. </w:t>
      </w:r>
      <w:r w:rsidRPr="00771641">
        <w:rPr>
          <w:rFonts w:cs="David" w:hint="cs"/>
          <w:b/>
          <w:bCs/>
          <w:spacing w:val="12"/>
          <w:sz w:val="24"/>
          <w:szCs w:val="24"/>
          <w:u w:val="single"/>
          <w:rtl/>
        </w:rPr>
        <w:t xml:space="preserve">תמצית העובדות הנחוצות לביסוסה של עילת התביעה ומתי נולדה: </w:t>
      </w:r>
    </w:p>
    <w:p w14:paraId="4272763F" w14:textId="4CBC85CE" w:rsidR="000B0DEF" w:rsidRPr="00771641" w:rsidRDefault="00A75E10" w:rsidP="00771641">
      <w:pPr>
        <w:pStyle w:val="ae"/>
        <w:numPr>
          <w:ilvl w:val="0"/>
          <w:numId w:val="13"/>
        </w:numPr>
        <w:spacing w:after="120" w:line="360" w:lineRule="auto"/>
        <w:ind w:right="-426"/>
        <w:jc w:val="both"/>
        <w:rPr>
          <w:rFonts w:cs="David"/>
          <w:spacing w:val="12"/>
          <w:sz w:val="24"/>
          <w:szCs w:val="24"/>
        </w:rPr>
      </w:pPr>
      <w:r>
        <w:rPr>
          <w:rFonts w:cs="David" w:hint="cs"/>
          <w:spacing w:val="12"/>
          <w:sz w:val="24"/>
          <w:szCs w:val="24"/>
          <w:rtl/>
          <w:lang w:bidi="he-IL"/>
        </w:rPr>
        <w:t>בהתאם</w:t>
      </w:r>
      <w:r w:rsidR="001B111B" w:rsidRPr="00771641">
        <w:rPr>
          <w:rFonts w:cs="David"/>
          <w:spacing w:val="12"/>
          <w:sz w:val="24"/>
          <w:szCs w:val="24"/>
          <w:rtl/>
        </w:rPr>
        <w:t xml:space="preserve"> </w:t>
      </w:r>
      <w:r>
        <w:rPr>
          <w:rFonts w:cs="David" w:hint="cs"/>
          <w:spacing w:val="12"/>
          <w:sz w:val="24"/>
          <w:szCs w:val="24"/>
          <w:rtl/>
          <w:lang w:bidi="he-IL"/>
        </w:rPr>
        <w:t>ל</w:t>
      </w:r>
      <w:r w:rsidR="001B111B" w:rsidRPr="00771641">
        <w:rPr>
          <w:rFonts w:cs="David"/>
          <w:spacing w:val="12"/>
          <w:sz w:val="24"/>
          <w:szCs w:val="24"/>
          <w:rtl/>
        </w:rPr>
        <w:t>דו</w:t>
      </w:r>
      <w:r>
        <w:rPr>
          <w:rFonts w:cs="David" w:hint="cs"/>
          <w:spacing w:val="12"/>
          <w:sz w:val="24"/>
          <w:szCs w:val="24"/>
          <w:rtl/>
          <w:lang w:bidi="he-IL"/>
        </w:rPr>
        <w:t>"</w:t>
      </w:r>
      <w:r w:rsidR="001B111B" w:rsidRPr="00771641">
        <w:rPr>
          <w:rFonts w:cs="David"/>
          <w:spacing w:val="12"/>
          <w:sz w:val="24"/>
          <w:szCs w:val="24"/>
          <w:rtl/>
        </w:rPr>
        <w:t>ח השנתי של מגדל ליום 31.12.2024, בפוליסה מס׳ 400861609 ("יותר") נקבעה קצבה חודשית במקרה של אובדן כושר עבודה בסך 6,261 ₪ לחודש, וכן קיים כיסוי לשחרור מתשלום הפקדות. בדוח מופיעה עלות הכיסוי "שלוה–מורחב 3 חדשי המתנה". שכר הבסיס להפקדות בפוליסה עמד, במרבית חודשי 2024, על 10,000 ₪ לחודש.</w:t>
      </w:r>
    </w:p>
    <w:p w14:paraId="3C2F2E45" w14:textId="33CB831F" w:rsidR="000B0DEF" w:rsidRPr="00771641" w:rsidRDefault="001B111B" w:rsidP="00FC3943">
      <w:pPr>
        <w:pStyle w:val="ae"/>
        <w:numPr>
          <w:ilvl w:val="0"/>
          <w:numId w:val="13"/>
        </w:numPr>
        <w:tabs>
          <w:tab w:val="clear" w:pos="720"/>
        </w:tabs>
        <w:spacing w:after="120" w:line="360" w:lineRule="auto"/>
        <w:ind w:left="735" w:right="-426" w:hanging="850"/>
        <w:jc w:val="both"/>
        <w:rPr>
          <w:rFonts w:cs="David"/>
          <w:spacing w:val="12"/>
          <w:sz w:val="24"/>
          <w:szCs w:val="24"/>
        </w:rPr>
      </w:pPr>
      <w:r w:rsidRPr="00771641">
        <w:rPr>
          <w:rFonts w:cs="David"/>
          <w:spacing w:val="12"/>
          <w:sz w:val="24"/>
          <w:szCs w:val="24"/>
          <w:rtl/>
        </w:rPr>
        <w:t>התובע ובני משפחתו הסתמכו על כך שהם מבוטחים כראוי באמצעות הנתבעים, ובכלל זה בכיסוי אכ״ע – בדיוק כדי להתמודד עם מצב רפואי שיפגע בכושר עבודתו של התובע.</w:t>
      </w:r>
    </w:p>
    <w:p w14:paraId="790EEFAB" w14:textId="295B6104" w:rsidR="000B0DEF" w:rsidRPr="00771641" w:rsidRDefault="001B111B" w:rsidP="00FC3943">
      <w:pPr>
        <w:pStyle w:val="ae"/>
        <w:numPr>
          <w:ilvl w:val="0"/>
          <w:numId w:val="13"/>
        </w:numPr>
        <w:tabs>
          <w:tab w:val="clear" w:pos="720"/>
        </w:tabs>
        <w:spacing w:after="120" w:line="360" w:lineRule="auto"/>
        <w:ind w:left="735" w:right="-426" w:hanging="850"/>
        <w:jc w:val="both"/>
        <w:rPr>
          <w:rFonts w:cs="David"/>
          <w:spacing w:val="12"/>
          <w:sz w:val="24"/>
          <w:szCs w:val="24"/>
        </w:rPr>
      </w:pPr>
      <w:r w:rsidRPr="00771641">
        <w:rPr>
          <w:rFonts w:cs="David"/>
          <w:spacing w:val="12"/>
          <w:sz w:val="24"/>
          <w:szCs w:val="24"/>
          <w:rtl/>
        </w:rPr>
        <w:t>על יסוד מצגים שמסרו הנתבעים לתובע ו/או לבני משפחתו, הובטח והוצג כי הכיסוי הביטוחי לאכ״ע נמשך עד גיל 75, היא שנת 2036. מצג זה נתמך, בין היתר, בתכתובת דוא״ל בין הגב׳ לבין הסוכנות (תצורף כנספח).</w:t>
      </w:r>
    </w:p>
    <w:p w14:paraId="4D0D74D2" w14:textId="37BE15EC" w:rsidR="000B0DEF" w:rsidRPr="00771641" w:rsidRDefault="001B111B" w:rsidP="00FC3943">
      <w:pPr>
        <w:pStyle w:val="ae"/>
        <w:numPr>
          <w:ilvl w:val="0"/>
          <w:numId w:val="13"/>
        </w:numPr>
        <w:tabs>
          <w:tab w:val="clear" w:pos="720"/>
        </w:tabs>
        <w:spacing w:after="120" w:line="360" w:lineRule="auto"/>
        <w:ind w:left="735" w:right="-426" w:hanging="850"/>
        <w:jc w:val="both"/>
        <w:rPr>
          <w:rFonts w:cs="David"/>
          <w:spacing w:val="12"/>
          <w:sz w:val="24"/>
          <w:szCs w:val="24"/>
        </w:rPr>
      </w:pPr>
      <w:r w:rsidRPr="00771641">
        <w:rPr>
          <w:rFonts w:cs="David"/>
          <w:spacing w:val="12"/>
          <w:sz w:val="24"/>
          <w:szCs w:val="24"/>
          <w:rtl/>
        </w:rPr>
        <w:t>ביום 28.4.2025 לקה התובע בליבו, אושפז, ובבדיקות הודגמה חסימה בשיעור של כ־99% שחייבה התערבות דחופה. בוצע צנתור עם הרחבה והשתלת סטנטים משחררי תרופה. לאחר אשפוז שוחרר התובע בהמלצות למעקב קרדיולוגי אינטנסיבי, טיפול תרופתי, שיקום ומנוחה ממושכת.</w:t>
      </w:r>
    </w:p>
    <w:p w14:paraId="18478651" w14:textId="17ED1C92" w:rsidR="000B0DEF" w:rsidRPr="00771641" w:rsidRDefault="001B111B" w:rsidP="00FC3943">
      <w:pPr>
        <w:pStyle w:val="ae"/>
        <w:numPr>
          <w:ilvl w:val="0"/>
          <w:numId w:val="13"/>
        </w:numPr>
        <w:tabs>
          <w:tab w:val="clear" w:pos="720"/>
        </w:tabs>
        <w:spacing w:after="120" w:line="360" w:lineRule="auto"/>
        <w:ind w:left="735" w:right="-426" w:hanging="850"/>
        <w:jc w:val="both"/>
        <w:rPr>
          <w:rFonts w:cs="David"/>
          <w:spacing w:val="12"/>
          <w:sz w:val="24"/>
          <w:szCs w:val="24"/>
        </w:rPr>
      </w:pPr>
      <w:r w:rsidRPr="00771641">
        <w:rPr>
          <w:rFonts w:cs="David"/>
          <w:spacing w:val="12"/>
          <w:sz w:val="24"/>
          <w:szCs w:val="24"/>
          <w:rtl/>
        </w:rPr>
        <w:t>מחמת מצבו הרפואי איבד התובע את כושרו לעבודה. ביום 21.7.2025 הוחלט על סיום העסקתו; לפי אישור המעסיק עבד עד ליום 1.9.2025. המוסד לביטוח לאומי קבע לתובע נכות רפואית בשיעור 100%, ו</w:t>
      </w:r>
      <w:r w:rsidR="0089749F">
        <w:rPr>
          <w:rFonts w:cs="David" w:hint="cs"/>
          <w:spacing w:val="12"/>
          <w:sz w:val="24"/>
          <w:szCs w:val="24"/>
          <w:rtl/>
          <w:lang w:bidi="he-IL"/>
        </w:rPr>
        <w:t>נקבע</w:t>
      </w:r>
      <w:r w:rsidRPr="00771641">
        <w:rPr>
          <w:rFonts w:cs="David"/>
          <w:spacing w:val="12"/>
          <w:sz w:val="24"/>
          <w:szCs w:val="24"/>
          <w:rtl/>
        </w:rPr>
        <w:t xml:space="preserve"> אי־כושר </w:t>
      </w:r>
      <w:r w:rsidR="0089749F">
        <w:rPr>
          <w:rFonts w:cs="David" w:hint="cs"/>
          <w:spacing w:val="12"/>
          <w:sz w:val="24"/>
          <w:szCs w:val="24"/>
          <w:rtl/>
          <w:lang w:bidi="he-IL"/>
        </w:rPr>
        <w:t>בשיעור</w:t>
      </w:r>
      <w:r w:rsidRPr="00771641">
        <w:rPr>
          <w:rFonts w:cs="David"/>
          <w:spacing w:val="12"/>
          <w:sz w:val="24"/>
          <w:szCs w:val="24"/>
          <w:rtl/>
        </w:rPr>
        <w:t xml:space="preserve"> גבוהה (בין היתר: 85% מיום 28.4.2025 עד 30.6.2025, ו־76% מיום 1.7.2025 ואילך).</w:t>
      </w:r>
    </w:p>
    <w:p w14:paraId="0AF885BB" w14:textId="09F282CF" w:rsidR="000B0DEF" w:rsidRPr="00771641" w:rsidRDefault="001B111B" w:rsidP="00FC3943">
      <w:pPr>
        <w:pStyle w:val="ae"/>
        <w:numPr>
          <w:ilvl w:val="0"/>
          <w:numId w:val="13"/>
        </w:numPr>
        <w:tabs>
          <w:tab w:val="clear" w:pos="720"/>
        </w:tabs>
        <w:spacing w:after="120" w:line="360" w:lineRule="auto"/>
        <w:ind w:left="735" w:right="-426" w:hanging="850"/>
        <w:jc w:val="both"/>
        <w:rPr>
          <w:rFonts w:cs="David"/>
          <w:spacing w:val="12"/>
          <w:sz w:val="24"/>
          <w:szCs w:val="24"/>
        </w:rPr>
      </w:pPr>
      <w:r w:rsidRPr="00771641">
        <w:rPr>
          <w:rFonts w:cs="David"/>
          <w:spacing w:val="12"/>
          <w:sz w:val="24"/>
          <w:szCs w:val="24"/>
          <w:rtl/>
        </w:rPr>
        <w:t>נוסף על האמור, התובע סובל מליקוי ראייה קשה (גלאוקומה מתקדמת) וזכאי לתעודת עיוור – מצב המחמיר את מגבלותיו התפקודיות ואת הצורך בכיסוי אכ״ע.</w:t>
      </w:r>
    </w:p>
    <w:p w14:paraId="7B2F022A" w14:textId="440EAA92" w:rsidR="000B0DEF" w:rsidRPr="00771641" w:rsidRDefault="001B111B" w:rsidP="00FC3943">
      <w:pPr>
        <w:pStyle w:val="ae"/>
        <w:numPr>
          <w:ilvl w:val="0"/>
          <w:numId w:val="13"/>
        </w:numPr>
        <w:tabs>
          <w:tab w:val="clear" w:pos="720"/>
        </w:tabs>
        <w:spacing w:after="120" w:line="360" w:lineRule="auto"/>
        <w:ind w:left="735" w:right="-426" w:hanging="850"/>
        <w:jc w:val="both"/>
        <w:rPr>
          <w:rFonts w:cs="David"/>
          <w:spacing w:val="12"/>
          <w:sz w:val="24"/>
          <w:szCs w:val="24"/>
        </w:rPr>
      </w:pPr>
      <w:r w:rsidRPr="00771641">
        <w:rPr>
          <w:rFonts w:cs="David"/>
          <w:spacing w:val="12"/>
          <w:sz w:val="24"/>
          <w:szCs w:val="24"/>
          <w:rtl/>
        </w:rPr>
        <w:t>התובע, באמצעות בא־כוחו, פנה למגדל בדרישה לתשלום תגמולי ביטוח, לרבות אכ״ע (מס׳ תביעה במגדל: 500094899), וצירף תיעוד רפואי, ייפוי כוח וטפסים כנדרש.</w:t>
      </w:r>
    </w:p>
    <w:p w14:paraId="5572FE0B" w14:textId="2E3E42CE" w:rsidR="000B0DEF" w:rsidRPr="00771641" w:rsidRDefault="001B111B" w:rsidP="00FC3943">
      <w:pPr>
        <w:pStyle w:val="ae"/>
        <w:numPr>
          <w:ilvl w:val="0"/>
          <w:numId w:val="13"/>
        </w:numPr>
        <w:tabs>
          <w:tab w:val="clear" w:pos="720"/>
        </w:tabs>
        <w:spacing w:after="120" w:line="360" w:lineRule="auto"/>
        <w:ind w:left="735" w:right="-426" w:hanging="850"/>
        <w:jc w:val="both"/>
        <w:rPr>
          <w:rFonts w:cs="David"/>
          <w:spacing w:val="12"/>
          <w:sz w:val="24"/>
          <w:szCs w:val="24"/>
        </w:rPr>
      </w:pPr>
      <w:r w:rsidRPr="00771641">
        <w:rPr>
          <w:rFonts w:cs="David"/>
          <w:spacing w:val="12"/>
          <w:sz w:val="24"/>
          <w:szCs w:val="24"/>
          <w:rtl/>
        </w:rPr>
        <w:t>במכתבי מגדל מיום 23.7.2025 ומיום 16.9.2025 (ומכתבים נוספים) נדחתה תביעת התובע, בין היתר בטענה כי הכיסוי הביטוחי לאכ״ע הסתיים ביום 30.4.2025.</w:t>
      </w:r>
    </w:p>
    <w:p w14:paraId="3788BE58" w14:textId="142C41EC" w:rsidR="000B0DEF" w:rsidRPr="00771641" w:rsidRDefault="001B111B" w:rsidP="00FC3943">
      <w:pPr>
        <w:pStyle w:val="ae"/>
        <w:numPr>
          <w:ilvl w:val="0"/>
          <w:numId w:val="13"/>
        </w:numPr>
        <w:tabs>
          <w:tab w:val="clear" w:pos="720"/>
        </w:tabs>
        <w:spacing w:after="120" w:line="360" w:lineRule="auto"/>
        <w:ind w:left="735" w:right="-426" w:hanging="850"/>
        <w:jc w:val="both"/>
        <w:rPr>
          <w:rFonts w:cs="David"/>
          <w:spacing w:val="12"/>
          <w:sz w:val="24"/>
          <w:szCs w:val="24"/>
        </w:rPr>
      </w:pPr>
      <w:r w:rsidRPr="00771641">
        <w:rPr>
          <w:rFonts w:cs="David"/>
          <w:spacing w:val="12"/>
          <w:sz w:val="24"/>
          <w:szCs w:val="24"/>
          <w:rtl/>
        </w:rPr>
        <w:lastRenderedPageBreak/>
        <w:t>עמדת מגדל עומדת בסתירה חזיתית למצג שהציגו הנתבעים לתובע ולבני משפחתו בדבר המשך הכיסוי עד גיל 75 / שנת 2036. יתרה מכך: גם לשיטת מגדל עצמה, מקרה הביטוח (אירוע הלב והצנתור) אירע ביום 28.4.2025 – קרי בתוך תקופת הכיסוי (שסיומה הנטען הוא 30.4.2025).</w:t>
      </w:r>
    </w:p>
    <w:p w14:paraId="13FB015A" w14:textId="1B0B42CF" w:rsidR="000B0DEF" w:rsidRPr="00771641" w:rsidRDefault="001B111B" w:rsidP="00FC3943">
      <w:pPr>
        <w:pStyle w:val="ae"/>
        <w:numPr>
          <w:ilvl w:val="0"/>
          <w:numId w:val="13"/>
        </w:numPr>
        <w:tabs>
          <w:tab w:val="clear" w:pos="720"/>
        </w:tabs>
        <w:spacing w:after="120" w:line="360" w:lineRule="auto"/>
        <w:ind w:left="735" w:right="-426" w:hanging="850"/>
        <w:jc w:val="both"/>
        <w:rPr>
          <w:rFonts w:cs="David"/>
          <w:spacing w:val="12"/>
          <w:sz w:val="24"/>
          <w:szCs w:val="24"/>
        </w:rPr>
      </w:pPr>
      <w:r w:rsidRPr="00771641">
        <w:rPr>
          <w:rFonts w:cs="David"/>
          <w:spacing w:val="12"/>
          <w:sz w:val="24"/>
          <w:szCs w:val="24"/>
          <w:rtl/>
        </w:rPr>
        <w:t>בא־כוח התובע השיב למגדל והבהיר כי אין שחר לטענת סיום הכיסוי ביום 30.4.2025; כי מקרה הביטוח אירע ביום 28.4.2025 כשיש כיסוי; וכי התובע מצוי באובדן כושר עבודה מלא, ובסמוך לכך הסתיימה העסקתו.</w:t>
      </w:r>
    </w:p>
    <w:p w14:paraId="1F6F82D5" w14:textId="325CC553" w:rsidR="000B0DEF" w:rsidRPr="00771641" w:rsidRDefault="001B111B" w:rsidP="00FC3943">
      <w:pPr>
        <w:pStyle w:val="ae"/>
        <w:numPr>
          <w:ilvl w:val="0"/>
          <w:numId w:val="13"/>
        </w:numPr>
        <w:tabs>
          <w:tab w:val="clear" w:pos="720"/>
        </w:tabs>
        <w:spacing w:after="120" w:line="360" w:lineRule="auto"/>
        <w:ind w:left="735" w:right="-426" w:hanging="850"/>
        <w:jc w:val="both"/>
        <w:rPr>
          <w:rFonts w:cs="David"/>
          <w:spacing w:val="12"/>
          <w:sz w:val="24"/>
          <w:szCs w:val="24"/>
        </w:rPr>
      </w:pPr>
      <w:r w:rsidRPr="00771641">
        <w:rPr>
          <w:rFonts w:cs="David"/>
          <w:spacing w:val="12"/>
          <w:sz w:val="24"/>
          <w:szCs w:val="24"/>
          <w:rtl/>
        </w:rPr>
        <w:t>נוכח דחיית מגדל והסתמכות התובע על מצגי הנתבעים, נשלח לנתבעים מכתב דרישה טרם פנייה לערכאות, ובו נדרשו לשאת בתשלום תגמולי האכ״ע שהיו משתלמים לתובע אלמלא רשלנותם והפרת חובותיהם. הנתבעים לא שילמו ולא תיקנו את הנזק.</w:t>
      </w:r>
    </w:p>
    <w:p w14:paraId="13FAF482" w14:textId="7081DF2D" w:rsidR="000B0DEF" w:rsidRPr="00771641" w:rsidRDefault="001B111B" w:rsidP="00FC3943">
      <w:pPr>
        <w:pStyle w:val="ae"/>
        <w:numPr>
          <w:ilvl w:val="0"/>
          <w:numId w:val="13"/>
        </w:numPr>
        <w:tabs>
          <w:tab w:val="clear" w:pos="720"/>
        </w:tabs>
        <w:spacing w:after="120" w:line="360" w:lineRule="auto"/>
        <w:ind w:left="735" w:right="-426" w:hanging="850"/>
        <w:jc w:val="both"/>
        <w:rPr>
          <w:rFonts w:cs="David"/>
          <w:spacing w:val="12"/>
          <w:sz w:val="24"/>
          <w:szCs w:val="24"/>
        </w:rPr>
      </w:pPr>
      <w:r w:rsidRPr="00771641">
        <w:rPr>
          <w:rFonts w:cs="David"/>
          <w:spacing w:val="12"/>
          <w:sz w:val="24"/>
          <w:szCs w:val="24"/>
          <w:rtl/>
        </w:rPr>
        <w:t>יצוין כי בעניין אחריות הסוכנות התנהלה גם פנייה למבטחת</w:t>
      </w:r>
      <w:r w:rsidR="00FC3943">
        <w:rPr>
          <w:rFonts w:cs="David" w:hint="cs"/>
          <w:spacing w:val="12"/>
          <w:sz w:val="24"/>
          <w:szCs w:val="24"/>
          <w:rtl/>
          <w:lang w:bidi="he-IL"/>
        </w:rPr>
        <w:t xml:space="preserve"> בביטוח</w:t>
      </w:r>
      <w:r w:rsidRPr="00771641">
        <w:rPr>
          <w:rFonts w:cs="David"/>
          <w:spacing w:val="12"/>
          <w:sz w:val="24"/>
          <w:szCs w:val="24"/>
          <w:rtl/>
        </w:rPr>
        <w:t xml:space="preserve"> אחריות מקצועית (איילון חברה לביטוח בע״מ; פוליסה מס׳ 17402429325 / תביעה מס׳ 1007402600007). תביעה זו מופנית כלפי הנתבעים עצמם בגין מעשיהם ומחדליהם.</w:t>
      </w:r>
    </w:p>
    <w:p w14:paraId="1D82CB83" w14:textId="77777777" w:rsidR="000B0DEF" w:rsidRPr="00771641" w:rsidRDefault="001B111B" w:rsidP="00771641">
      <w:pPr>
        <w:spacing w:before="120" w:after="120" w:line="360" w:lineRule="auto"/>
        <w:ind w:right="-426"/>
        <w:jc w:val="both"/>
        <w:rPr>
          <w:rFonts w:cs="David"/>
          <w:b/>
          <w:bCs/>
          <w:spacing w:val="12"/>
          <w:sz w:val="24"/>
          <w:szCs w:val="24"/>
        </w:rPr>
      </w:pPr>
      <w:r w:rsidRPr="00771641">
        <w:rPr>
          <w:rFonts w:cs="David"/>
          <w:b/>
          <w:bCs/>
          <w:spacing w:val="12"/>
          <w:sz w:val="24"/>
          <w:szCs w:val="24"/>
          <w:rtl/>
        </w:rPr>
        <w:t>ד. עילות התביעה</w:t>
      </w:r>
    </w:p>
    <w:p w14:paraId="3DC6217A" w14:textId="607995AB" w:rsidR="000B0DEF" w:rsidRPr="00771641" w:rsidRDefault="001B111B" w:rsidP="00FC3943">
      <w:pPr>
        <w:pStyle w:val="ae"/>
        <w:numPr>
          <w:ilvl w:val="0"/>
          <w:numId w:val="13"/>
        </w:numPr>
        <w:spacing w:after="120" w:line="360" w:lineRule="auto"/>
        <w:ind w:left="736" w:right="-426" w:hanging="992"/>
        <w:jc w:val="both"/>
        <w:rPr>
          <w:rFonts w:cs="David"/>
          <w:spacing w:val="12"/>
          <w:sz w:val="24"/>
          <w:szCs w:val="24"/>
        </w:rPr>
      </w:pPr>
      <w:r w:rsidRPr="00771641">
        <w:rPr>
          <w:rFonts w:cs="David"/>
          <w:spacing w:val="12"/>
          <w:sz w:val="24"/>
          <w:szCs w:val="24"/>
          <w:rtl/>
        </w:rPr>
        <w:t>הנתבעים התרשלו כלפי התובע במילוי תפקידם כסוכן וכסוכנות ביטוח, בכך שלא פעלו כפי שסוכן ביטוח זהיר וסביר היה פועל בנסיבות דומות.</w:t>
      </w:r>
    </w:p>
    <w:p w14:paraId="74FF2AB2" w14:textId="778C396A" w:rsidR="000B0DEF" w:rsidRPr="00771641" w:rsidRDefault="001B111B" w:rsidP="00FC3943">
      <w:pPr>
        <w:pStyle w:val="ae"/>
        <w:numPr>
          <w:ilvl w:val="0"/>
          <w:numId w:val="13"/>
        </w:numPr>
        <w:spacing w:after="120" w:line="360" w:lineRule="auto"/>
        <w:ind w:left="736" w:right="-426" w:hanging="992"/>
        <w:jc w:val="both"/>
        <w:rPr>
          <w:rFonts w:cs="David"/>
          <w:spacing w:val="12"/>
          <w:sz w:val="24"/>
          <w:szCs w:val="24"/>
        </w:rPr>
      </w:pPr>
      <w:r w:rsidRPr="00771641">
        <w:rPr>
          <w:rFonts w:cs="David"/>
          <w:spacing w:val="12"/>
          <w:sz w:val="24"/>
          <w:szCs w:val="24"/>
          <w:rtl/>
        </w:rPr>
        <w:t>התרשלות הנתבעים והפרת חובותיהם באו לידי ביטוי, בין היתר</w:t>
      </w:r>
      <w:r w:rsidR="00E70BA6" w:rsidRPr="00771641">
        <w:rPr>
          <w:rFonts w:cs="David" w:hint="cs"/>
          <w:spacing w:val="12"/>
          <w:sz w:val="24"/>
          <w:szCs w:val="24"/>
          <w:rtl/>
          <w:lang w:bidi="he-IL"/>
        </w:rPr>
        <w:t xml:space="preserve">, </w:t>
      </w:r>
      <w:r w:rsidRPr="00771641">
        <w:rPr>
          <w:rFonts w:cs="David"/>
          <w:spacing w:val="12"/>
          <w:sz w:val="24"/>
          <w:szCs w:val="24"/>
          <w:rtl/>
        </w:rPr>
        <w:t xml:space="preserve"> במעשים ו/או במחדלים אלה:</w:t>
      </w:r>
    </w:p>
    <w:p w14:paraId="7C15E5A6" w14:textId="40763FA2" w:rsidR="000B0DEF" w:rsidRPr="00771641" w:rsidRDefault="001B111B" w:rsidP="00771641">
      <w:pPr>
        <w:pStyle w:val="ae"/>
        <w:numPr>
          <w:ilvl w:val="0"/>
          <w:numId w:val="11"/>
        </w:numPr>
        <w:spacing w:after="120" w:line="360" w:lineRule="auto"/>
        <w:ind w:right="-426"/>
        <w:jc w:val="both"/>
        <w:rPr>
          <w:rFonts w:cs="David"/>
          <w:spacing w:val="12"/>
          <w:sz w:val="24"/>
          <w:szCs w:val="24"/>
          <w:rtl/>
          <w:lang w:bidi="he-IL"/>
        </w:rPr>
      </w:pPr>
      <w:r w:rsidRPr="00771641">
        <w:rPr>
          <w:rFonts w:cs="David"/>
          <w:spacing w:val="12"/>
          <w:sz w:val="24"/>
          <w:szCs w:val="24"/>
          <w:rtl/>
        </w:rPr>
        <w:t>מסרו מצג מטעה ו/או חסר בדבר תקופת הכיסוי לאכ״ע (עד גיל 75 / שנת 2036), בעוד שלשיטת המבטחת הסתיים הכיסוי ביום 30.4.2025;</w:t>
      </w:r>
    </w:p>
    <w:p w14:paraId="6F17FC3A" w14:textId="65850DEB" w:rsidR="000B0DEF" w:rsidRPr="00771641" w:rsidRDefault="001B111B" w:rsidP="00771641">
      <w:pPr>
        <w:pStyle w:val="ae"/>
        <w:numPr>
          <w:ilvl w:val="0"/>
          <w:numId w:val="11"/>
        </w:numPr>
        <w:spacing w:after="120" w:line="360" w:lineRule="auto"/>
        <w:ind w:right="-426"/>
        <w:jc w:val="both"/>
        <w:rPr>
          <w:rFonts w:cs="David"/>
          <w:spacing w:val="12"/>
          <w:sz w:val="24"/>
          <w:szCs w:val="24"/>
        </w:rPr>
      </w:pPr>
      <w:r w:rsidRPr="00771641">
        <w:rPr>
          <w:rFonts w:cs="David"/>
          <w:spacing w:val="12"/>
          <w:sz w:val="24"/>
          <w:szCs w:val="24"/>
          <w:rtl/>
        </w:rPr>
        <w:t>לא וידאו, לא תיעדו ולא יידעו את התובע באופן ברור, בכתב ובמועד, על מועד סיום הכיסוי ו/או על הצורך בהארכה, בחידוש או ברכישת כיסוי חלופי;</w:t>
      </w:r>
    </w:p>
    <w:p w14:paraId="06341EB5" w14:textId="4689DBBC" w:rsidR="000B0DEF" w:rsidRPr="00771641" w:rsidRDefault="001B111B" w:rsidP="00771641">
      <w:pPr>
        <w:pStyle w:val="ae"/>
        <w:numPr>
          <w:ilvl w:val="0"/>
          <w:numId w:val="11"/>
        </w:numPr>
        <w:spacing w:after="120" w:line="360" w:lineRule="auto"/>
        <w:ind w:right="-426"/>
        <w:jc w:val="both"/>
        <w:rPr>
          <w:rFonts w:cs="David"/>
          <w:spacing w:val="12"/>
          <w:sz w:val="24"/>
          <w:szCs w:val="24"/>
        </w:rPr>
      </w:pPr>
      <w:r w:rsidRPr="00771641">
        <w:rPr>
          <w:rFonts w:cs="David"/>
          <w:spacing w:val="12"/>
          <w:sz w:val="24"/>
          <w:szCs w:val="24"/>
          <w:rtl/>
        </w:rPr>
        <w:t>לא שמרו על רצף ביטוחי הולם לצורכי התובע, חרף הסתמכותו עליהם;</w:t>
      </w:r>
    </w:p>
    <w:p w14:paraId="188AACF2" w14:textId="3B00AB83" w:rsidR="000B0DEF" w:rsidRPr="00771641" w:rsidRDefault="001B111B" w:rsidP="00771641">
      <w:pPr>
        <w:pStyle w:val="ae"/>
        <w:numPr>
          <w:ilvl w:val="0"/>
          <w:numId w:val="11"/>
        </w:numPr>
        <w:spacing w:after="120" w:line="360" w:lineRule="auto"/>
        <w:ind w:right="-426"/>
        <w:jc w:val="both"/>
        <w:rPr>
          <w:rFonts w:cs="David"/>
          <w:spacing w:val="12"/>
          <w:sz w:val="24"/>
          <w:szCs w:val="24"/>
        </w:rPr>
      </w:pPr>
      <w:r w:rsidRPr="00771641">
        <w:rPr>
          <w:rFonts w:cs="David"/>
          <w:spacing w:val="12"/>
          <w:sz w:val="24"/>
          <w:szCs w:val="24"/>
          <w:rtl/>
        </w:rPr>
        <w:t>לא פעלו בשקידה סבירה לשמירת ענייניו של התובע מול מגדל;</w:t>
      </w:r>
    </w:p>
    <w:p w14:paraId="1B197351" w14:textId="4E01C1C9" w:rsidR="000B0DEF" w:rsidRPr="00771641" w:rsidRDefault="001B111B" w:rsidP="00771641">
      <w:pPr>
        <w:pStyle w:val="ae"/>
        <w:numPr>
          <w:ilvl w:val="0"/>
          <w:numId w:val="11"/>
        </w:numPr>
        <w:spacing w:after="120" w:line="360" w:lineRule="auto"/>
        <w:ind w:right="-426"/>
        <w:jc w:val="both"/>
        <w:rPr>
          <w:rFonts w:cs="David"/>
          <w:spacing w:val="12"/>
          <w:sz w:val="24"/>
          <w:szCs w:val="24"/>
        </w:rPr>
      </w:pPr>
      <w:r w:rsidRPr="00771641">
        <w:rPr>
          <w:rFonts w:cs="David"/>
          <w:spacing w:val="12"/>
          <w:sz w:val="24"/>
          <w:szCs w:val="24"/>
          <w:rtl/>
        </w:rPr>
        <w:t>לא גילו לתובע גילוי נאות את מלוא המידע המהותי הנוגע להיקף הכיסוי, למגבלותיו ולתקופתו.</w:t>
      </w:r>
    </w:p>
    <w:p w14:paraId="3A69B521" w14:textId="2C2AC39A" w:rsidR="000B0DEF" w:rsidRPr="00771641" w:rsidRDefault="001B111B" w:rsidP="00771641">
      <w:pPr>
        <w:pStyle w:val="ae"/>
        <w:numPr>
          <w:ilvl w:val="0"/>
          <w:numId w:val="11"/>
        </w:numPr>
        <w:spacing w:after="120" w:line="360" w:lineRule="auto"/>
        <w:ind w:right="-426"/>
        <w:jc w:val="both"/>
        <w:rPr>
          <w:rFonts w:cs="David"/>
          <w:spacing w:val="12"/>
          <w:sz w:val="24"/>
          <w:szCs w:val="24"/>
        </w:rPr>
      </w:pPr>
      <w:r w:rsidRPr="00771641">
        <w:rPr>
          <w:rFonts w:cs="David"/>
          <w:spacing w:val="12"/>
          <w:sz w:val="24"/>
          <w:szCs w:val="24"/>
          <w:rtl/>
        </w:rPr>
        <w:t>הנתבעים הפרו את חובת הנאמנות שבה חבו כלפי התובע כמי שטיפלו בענייני ביטוחו.</w:t>
      </w:r>
    </w:p>
    <w:p w14:paraId="04569081" w14:textId="505C7D00" w:rsidR="000B0DEF" w:rsidRPr="00771641" w:rsidRDefault="001B111B" w:rsidP="00771641">
      <w:pPr>
        <w:pStyle w:val="ae"/>
        <w:numPr>
          <w:ilvl w:val="0"/>
          <w:numId w:val="11"/>
        </w:numPr>
        <w:spacing w:after="120" w:line="360" w:lineRule="auto"/>
        <w:ind w:right="-426"/>
        <w:jc w:val="both"/>
        <w:rPr>
          <w:rFonts w:cs="David"/>
          <w:spacing w:val="12"/>
          <w:sz w:val="24"/>
          <w:szCs w:val="24"/>
        </w:rPr>
      </w:pPr>
      <w:r w:rsidRPr="00771641">
        <w:rPr>
          <w:rFonts w:cs="David"/>
          <w:spacing w:val="12"/>
          <w:sz w:val="24"/>
          <w:szCs w:val="24"/>
          <w:rtl/>
        </w:rPr>
        <w:t>הנתבעים הפרו חובות חקוקות החלות עליהם, ובין היתר:</w:t>
      </w:r>
    </w:p>
    <w:p w14:paraId="07F24C5B" w14:textId="12311934" w:rsidR="000B0DEF" w:rsidRPr="00771641" w:rsidRDefault="001B111B" w:rsidP="00771641">
      <w:pPr>
        <w:pStyle w:val="ae"/>
        <w:numPr>
          <w:ilvl w:val="0"/>
          <w:numId w:val="11"/>
        </w:numPr>
        <w:spacing w:after="120" w:line="360" w:lineRule="auto"/>
        <w:ind w:right="-426"/>
        <w:jc w:val="both"/>
        <w:rPr>
          <w:rFonts w:cs="David"/>
          <w:spacing w:val="12"/>
          <w:sz w:val="24"/>
          <w:szCs w:val="24"/>
        </w:rPr>
      </w:pPr>
      <w:r w:rsidRPr="00771641">
        <w:rPr>
          <w:rFonts w:cs="David"/>
          <w:spacing w:val="12"/>
          <w:sz w:val="24"/>
          <w:szCs w:val="24"/>
          <w:rtl/>
        </w:rPr>
        <w:t>סעיפים 5 ו־8 לחוק השליחות, תשכ״ה–1965;</w:t>
      </w:r>
    </w:p>
    <w:p w14:paraId="7567E7F7" w14:textId="4E04DDDA" w:rsidR="000B0DEF" w:rsidRPr="00771641" w:rsidRDefault="001B111B" w:rsidP="00771641">
      <w:pPr>
        <w:pStyle w:val="ae"/>
        <w:numPr>
          <w:ilvl w:val="0"/>
          <w:numId w:val="11"/>
        </w:numPr>
        <w:spacing w:after="120" w:line="360" w:lineRule="auto"/>
        <w:ind w:right="-426"/>
        <w:jc w:val="both"/>
        <w:rPr>
          <w:rFonts w:cs="David"/>
          <w:spacing w:val="12"/>
          <w:sz w:val="24"/>
          <w:szCs w:val="24"/>
        </w:rPr>
      </w:pPr>
      <w:r w:rsidRPr="00771641">
        <w:rPr>
          <w:rFonts w:cs="David"/>
          <w:spacing w:val="12"/>
          <w:sz w:val="24"/>
          <w:szCs w:val="24"/>
          <w:rtl/>
        </w:rPr>
        <w:t>סעיף 55 לחוק הפיקוח על שירותים פיננסיים (ביטוח), תשמ״א–1981;</w:t>
      </w:r>
    </w:p>
    <w:p w14:paraId="2E3AF5AE" w14:textId="07DA6D5D" w:rsidR="000B0DEF" w:rsidRPr="00771641" w:rsidRDefault="00644F60" w:rsidP="00771641">
      <w:pPr>
        <w:pStyle w:val="ae"/>
        <w:numPr>
          <w:ilvl w:val="0"/>
          <w:numId w:val="11"/>
        </w:numPr>
        <w:spacing w:after="120" w:line="360" w:lineRule="auto"/>
        <w:ind w:right="-426"/>
        <w:jc w:val="both"/>
        <w:rPr>
          <w:rFonts w:cs="David"/>
          <w:spacing w:val="12"/>
          <w:sz w:val="24"/>
          <w:szCs w:val="24"/>
        </w:rPr>
      </w:pPr>
      <w:r w:rsidRPr="00771641">
        <w:rPr>
          <w:rFonts w:cs="David" w:hint="cs"/>
          <w:spacing w:val="12"/>
          <w:sz w:val="24"/>
          <w:szCs w:val="24"/>
          <w:rtl/>
          <w:lang w:bidi="he-IL"/>
        </w:rPr>
        <w:t xml:space="preserve">הפרת </w:t>
      </w:r>
      <w:r w:rsidR="001B111B" w:rsidRPr="00771641">
        <w:rPr>
          <w:rFonts w:cs="David"/>
          <w:spacing w:val="12"/>
          <w:sz w:val="24"/>
          <w:szCs w:val="24"/>
          <w:rtl/>
        </w:rPr>
        <w:t>חובות הגילוי, ההגינות והזהירות החלות על סוכן ביטוח כלפי מבוטח לפי דין ולהנחיות הממונה על שוק ההון, ביטוח וחיסכון.</w:t>
      </w:r>
    </w:p>
    <w:p w14:paraId="26EFCCEF" w14:textId="1787D28E" w:rsidR="000B0DEF" w:rsidRPr="00771641" w:rsidRDefault="001B111B" w:rsidP="00FC3943">
      <w:pPr>
        <w:pStyle w:val="ae"/>
        <w:numPr>
          <w:ilvl w:val="0"/>
          <w:numId w:val="13"/>
        </w:numPr>
        <w:spacing w:after="120" w:line="360" w:lineRule="auto"/>
        <w:ind w:left="452" w:right="-426" w:hanging="708"/>
        <w:jc w:val="both"/>
        <w:rPr>
          <w:rFonts w:cs="David"/>
          <w:spacing w:val="12"/>
          <w:sz w:val="24"/>
          <w:szCs w:val="24"/>
        </w:rPr>
      </w:pPr>
      <w:r w:rsidRPr="00771641">
        <w:rPr>
          <w:rFonts w:cs="David"/>
          <w:spacing w:val="12"/>
          <w:sz w:val="24"/>
          <w:szCs w:val="24"/>
          <w:rtl/>
        </w:rPr>
        <w:t>לחילופין ו/או במצטבר, חבים הנתבעים בתשלום פיצויים לפי פקודת הנזיקין [נוסח חדש] – בגין רשלנות ו/או הפרת חובה חקוקה – וכן לפי דיני החוזים, בשל מצג והסתמכות.</w:t>
      </w:r>
    </w:p>
    <w:p w14:paraId="5895B38E" w14:textId="08D5ACE2" w:rsidR="000B0DEF" w:rsidRDefault="001B111B" w:rsidP="00FC3943">
      <w:pPr>
        <w:pStyle w:val="ae"/>
        <w:numPr>
          <w:ilvl w:val="0"/>
          <w:numId w:val="13"/>
        </w:numPr>
        <w:spacing w:after="120" w:line="360" w:lineRule="auto"/>
        <w:ind w:left="452" w:right="-426" w:hanging="708"/>
        <w:jc w:val="both"/>
        <w:rPr>
          <w:rFonts w:cs="David"/>
          <w:spacing w:val="12"/>
          <w:sz w:val="24"/>
          <w:szCs w:val="24"/>
        </w:rPr>
      </w:pPr>
      <w:r w:rsidRPr="00771641">
        <w:rPr>
          <w:rFonts w:cs="David"/>
          <w:spacing w:val="12"/>
          <w:sz w:val="24"/>
          <w:szCs w:val="24"/>
          <w:rtl/>
        </w:rPr>
        <w:t>אלמלא מעשי הנתבעים ומחדליהם, היה התובע זכאי לקבל ממגדל תגמולי אכ״ע לפי תנאי הפוליסה, ולכל הפחות היה נהנה מכיסוי תקף כפי שהוצג לו. מחמת מעשיהם ומחדליהם של הנתבעים נגרם לתובע נזק כספי כמפורט להלן.</w:t>
      </w:r>
    </w:p>
    <w:p w14:paraId="67BA5931" w14:textId="77777777" w:rsidR="00A75E10" w:rsidRPr="00A75E10" w:rsidRDefault="00A75E10" w:rsidP="00A75E10">
      <w:pPr>
        <w:spacing w:after="120" w:line="360" w:lineRule="auto"/>
        <w:ind w:right="-426"/>
        <w:jc w:val="both"/>
        <w:rPr>
          <w:rFonts w:cs="David"/>
          <w:spacing w:val="12"/>
          <w:sz w:val="24"/>
          <w:szCs w:val="24"/>
          <w:lang w:bidi="he-IL"/>
        </w:rPr>
      </w:pPr>
    </w:p>
    <w:p w14:paraId="02163A69" w14:textId="77777777" w:rsidR="000B0DEF" w:rsidRPr="00771641" w:rsidRDefault="001B111B" w:rsidP="00771641">
      <w:pPr>
        <w:spacing w:before="120" w:after="120" w:line="360" w:lineRule="auto"/>
        <w:ind w:right="-426"/>
        <w:jc w:val="both"/>
        <w:rPr>
          <w:rFonts w:cs="David"/>
          <w:b/>
          <w:bCs/>
          <w:spacing w:val="12"/>
          <w:sz w:val="24"/>
          <w:szCs w:val="24"/>
        </w:rPr>
      </w:pPr>
      <w:r w:rsidRPr="00771641">
        <w:rPr>
          <w:rFonts w:cs="David"/>
          <w:b/>
          <w:bCs/>
          <w:spacing w:val="12"/>
          <w:sz w:val="24"/>
          <w:szCs w:val="24"/>
          <w:rtl/>
        </w:rPr>
        <w:t>ה. הנזק וחישוב הסכום</w:t>
      </w:r>
    </w:p>
    <w:p w14:paraId="29CB903C" w14:textId="054BDE06" w:rsidR="000B0DEF" w:rsidRPr="00771641" w:rsidRDefault="001B111B" w:rsidP="00FC3943">
      <w:pPr>
        <w:pStyle w:val="ae"/>
        <w:numPr>
          <w:ilvl w:val="0"/>
          <w:numId w:val="13"/>
        </w:numPr>
        <w:spacing w:after="120" w:line="360" w:lineRule="auto"/>
        <w:ind w:left="452" w:right="-426" w:hanging="850"/>
        <w:jc w:val="both"/>
        <w:rPr>
          <w:rFonts w:cs="David"/>
          <w:spacing w:val="12"/>
          <w:sz w:val="24"/>
          <w:szCs w:val="24"/>
        </w:rPr>
      </w:pPr>
      <w:r w:rsidRPr="00771641">
        <w:rPr>
          <w:rFonts w:cs="David"/>
          <w:spacing w:val="12"/>
          <w:sz w:val="24"/>
          <w:szCs w:val="24"/>
          <w:rtl/>
        </w:rPr>
        <w:lastRenderedPageBreak/>
        <w:t>בסיס החישוב הוא הקצבה החודשית לאכ״ע בסך 6,261 ₪ לחודש, כפי שנקבע בדוח מגדל מיום 31.12.2024 לפוליסה מס׳ 400861609. תקופת ההמתנה היא שלושה חודשים ממועד מקרה הביטוח (28.4.2025), היינו תחילת זכאות משוערת מיום 28.7.2025. החישוב דלהלן מתייחס לחודשים מלאים החל מחודש 08/2025.</w:t>
      </w:r>
    </w:p>
    <w:p w14:paraId="01690939" w14:textId="5339BC01" w:rsidR="000B0DEF" w:rsidRPr="00771641" w:rsidRDefault="001B111B" w:rsidP="00FC3943">
      <w:pPr>
        <w:pStyle w:val="ae"/>
        <w:numPr>
          <w:ilvl w:val="0"/>
          <w:numId w:val="13"/>
        </w:numPr>
        <w:spacing w:after="120" w:line="360" w:lineRule="auto"/>
        <w:ind w:left="452" w:right="-426" w:hanging="850"/>
        <w:jc w:val="both"/>
        <w:rPr>
          <w:rFonts w:cs="David"/>
          <w:spacing w:val="12"/>
          <w:sz w:val="24"/>
          <w:szCs w:val="24"/>
        </w:rPr>
      </w:pPr>
      <w:r w:rsidRPr="00771641">
        <w:rPr>
          <w:rFonts w:cs="David"/>
          <w:spacing w:val="12"/>
          <w:sz w:val="24"/>
          <w:szCs w:val="24"/>
          <w:rtl/>
        </w:rPr>
        <w:t>תגמולים שנצברו ולא שולמו (נכון לחודש 09/2026): 14 חודשים (08/2025 עד 09/2026) × 6,261 ₪ = 87,654 ₪.</w:t>
      </w:r>
    </w:p>
    <w:p w14:paraId="35937566" w14:textId="584FCB7D" w:rsidR="000B0DEF" w:rsidRPr="00771641" w:rsidRDefault="001B111B" w:rsidP="00FC3943">
      <w:pPr>
        <w:pStyle w:val="ae"/>
        <w:numPr>
          <w:ilvl w:val="0"/>
          <w:numId w:val="13"/>
        </w:numPr>
        <w:spacing w:after="120" w:line="360" w:lineRule="auto"/>
        <w:ind w:left="452" w:right="-426" w:hanging="850"/>
        <w:jc w:val="both"/>
        <w:rPr>
          <w:rFonts w:cs="David"/>
          <w:spacing w:val="12"/>
          <w:sz w:val="24"/>
          <w:szCs w:val="24"/>
        </w:rPr>
      </w:pPr>
      <w:r w:rsidRPr="00771641">
        <w:rPr>
          <w:rFonts w:cs="David"/>
          <w:spacing w:val="12"/>
          <w:sz w:val="24"/>
          <w:szCs w:val="24"/>
          <w:rtl/>
        </w:rPr>
        <w:t>תגמולים צפויים להמשך הזכאות (אומדן עד סוף שנת 2036 – שנת הגיעו של התובע לגיל 75 לפי מצג הנתבעים): 123 חודשים (10/2026 עד 12/2036) × 6,261 ₪ = 770,103 ₪. סכום זה הוא נומינלי, בלא היוון.</w:t>
      </w:r>
    </w:p>
    <w:p w14:paraId="750B8B8A" w14:textId="5958EFB5" w:rsidR="000B0DEF" w:rsidRPr="00771641" w:rsidRDefault="001B111B" w:rsidP="00FC3943">
      <w:pPr>
        <w:pStyle w:val="ae"/>
        <w:numPr>
          <w:ilvl w:val="0"/>
          <w:numId w:val="13"/>
        </w:numPr>
        <w:spacing w:after="120" w:line="360" w:lineRule="auto"/>
        <w:ind w:left="452" w:right="-426" w:hanging="850"/>
        <w:jc w:val="both"/>
        <w:rPr>
          <w:rFonts w:cs="David"/>
          <w:spacing w:val="12"/>
          <w:sz w:val="24"/>
          <w:szCs w:val="24"/>
        </w:rPr>
      </w:pPr>
      <w:r w:rsidRPr="00771641">
        <w:rPr>
          <w:rFonts w:cs="David"/>
          <w:spacing w:val="12"/>
          <w:sz w:val="24"/>
          <w:szCs w:val="24"/>
          <w:rtl/>
        </w:rPr>
        <w:t>סה״כ אומדן הנזק, בלא היוון ובלא ניכוי קצבת המוסד לביטוח לאומי: 87,654 ₪ + 770,103 ₪ = 857,757 ₪.</w:t>
      </w:r>
    </w:p>
    <w:p w14:paraId="56F52F5B" w14:textId="6C4A5A78" w:rsidR="000B0DEF" w:rsidRPr="00771641" w:rsidRDefault="001B111B" w:rsidP="00FC3943">
      <w:pPr>
        <w:pStyle w:val="ae"/>
        <w:numPr>
          <w:ilvl w:val="0"/>
          <w:numId w:val="13"/>
        </w:numPr>
        <w:spacing w:after="120" w:line="360" w:lineRule="auto"/>
        <w:ind w:left="452" w:right="-426" w:hanging="850"/>
        <w:jc w:val="both"/>
        <w:rPr>
          <w:rFonts w:cs="David"/>
          <w:spacing w:val="12"/>
          <w:sz w:val="24"/>
          <w:szCs w:val="24"/>
        </w:rPr>
      </w:pPr>
      <w:r w:rsidRPr="00771641">
        <w:rPr>
          <w:rFonts w:cs="David"/>
          <w:spacing w:val="12"/>
          <w:sz w:val="24"/>
          <w:szCs w:val="24"/>
          <w:rtl/>
        </w:rPr>
        <w:t>לחילופין, ומבלי לגרוע מן האמור, מתבקש לחייב את הנתבעים בסך התגמולים שנצברו (87,654 ₪), ובצירוף חיוב חודשי שוטף של 6,261 ₪ החל מחודש 10/2026 ואילך – עד תום תקופת הזכאות לפי הפוליסה, עד החלמה או עד גיל 75, לפי המוקדם; או בסכום מהוון שייקבע בחוות דעת אקטוארית.</w:t>
      </w:r>
    </w:p>
    <w:p w14:paraId="1726AA93" w14:textId="415870A4" w:rsidR="000B0DEF" w:rsidRPr="00771641" w:rsidRDefault="001B111B" w:rsidP="00FC3943">
      <w:pPr>
        <w:pStyle w:val="ae"/>
        <w:numPr>
          <w:ilvl w:val="0"/>
          <w:numId w:val="13"/>
        </w:numPr>
        <w:spacing w:after="120" w:line="360" w:lineRule="auto"/>
        <w:ind w:left="452" w:right="-426" w:hanging="850"/>
        <w:jc w:val="both"/>
        <w:rPr>
          <w:rFonts w:cs="David"/>
          <w:spacing w:val="12"/>
          <w:sz w:val="24"/>
          <w:szCs w:val="24"/>
        </w:rPr>
      </w:pPr>
      <w:r w:rsidRPr="00771641">
        <w:rPr>
          <w:rFonts w:cs="David"/>
          <w:spacing w:val="12"/>
          <w:sz w:val="24"/>
          <w:szCs w:val="24"/>
          <w:rtl/>
        </w:rPr>
        <w:t>התובע שומר על טענותיו כי אין לנכות ו/או לקזז מקצבת הנכות של המוסד לביטוח לאומי, ככל שתנאי הפוליסה אינם מחייבים קיזוז כאמור; וככל שייקבע אחרת – יעודכן סכום התביעה בהתאם.</w:t>
      </w:r>
    </w:p>
    <w:p w14:paraId="416A8E30" w14:textId="20DD3255" w:rsidR="000B0DEF" w:rsidRPr="00771641" w:rsidRDefault="001B111B" w:rsidP="00FC3943">
      <w:pPr>
        <w:pStyle w:val="ae"/>
        <w:numPr>
          <w:ilvl w:val="0"/>
          <w:numId w:val="13"/>
        </w:numPr>
        <w:spacing w:after="120" w:line="360" w:lineRule="auto"/>
        <w:ind w:left="452" w:right="-426" w:hanging="850"/>
        <w:jc w:val="both"/>
        <w:rPr>
          <w:rFonts w:cs="David"/>
          <w:spacing w:val="12"/>
          <w:sz w:val="24"/>
          <w:szCs w:val="24"/>
        </w:rPr>
      </w:pPr>
      <w:r w:rsidRPr="00771641">
        <w:rPr>
          <w:rFonts w:cs="David"/>
          <w:spacing w:val="12"/>
          <w:sz w:val="24"/>
          <w:szCs w:val="24"/>
          <w:rtl/>
        </w:rPr>
        <w:t>לכל הסכומים האמורים יצורפו הפרשי הצמדה וריבית כדין ממועד הזכאות / מיום הדרישה ועד התשלום בפועל, וכן הוצאות משפט ושכר טרחת עורך דין.</w:t>
      </w:r>
    </w:p>
    <w:p w14:paraId="2FDD978A" w14:textId="5BA551FA" w:rsidR="000B0DEF" w:rsidRPr="00771641" w:rsidRDefault="001B111B" w:rsidP="00FC3943">
      <w:pPr>
        <w:pStyle w:val="ae"/>
        <w:numPr>
          <w:ilvl w:val="0"/>
          <w:numId w:val="13"/>
        </w:numPr>
        <w:spacing w:after="120" w:line="360" w:lineRule="auto"/>
        <w:ind w:left="452" w:right="-426" w:hanging="850"/>
        <w:jc w:val="both"/>
        <w:rPr>
          <w:rFonts w:cs="David"/>
          <w:spacing w:val="12"/>
          <w:sz w:val="24"/>
          <w:szCs w:val="24"/>
        </w:rPr>
      </w:pPr>
      <w:r w:rsidRPr="00771641">
        <w:rPr>
          <w:rFonts w:cs="David"/>
          <w:spacing w:val="12"/>
          <w:sz w:val="24"/>
          <w:szCs w:val="24"/>
          <w:rtl/>
        </w:rPr>
        <w:t>כל הטענות בכתב תביעה זה נטענות במצטבר או לחילופין, הכל לפי עניינן והקשרן.</w:t>
      </w:r>
    </w:p>
    <w:p w14:paraId="0338462C" w14:textId="77777777" w:rsidR="005041E1" w:rsidRPr="00771641" w:rsidRDefault="005041E1" w:rsidP="00771641">
      <w:pPr>
        <w:spacing w:after="120" w:line="360" w:lineRule="auto"/>
        <w:jc w:val="both"/>
        <w:rPr>
          <w:rFonts w:cs="David"/>
          <w:b/>
          <w:bCs/>
          <w:spacing w:val="12"/>
          <w:sz w:val="24"/>
          <w:szCs w:val="24"/>
          <w:u w:val="single"/>
        </w:rPr>
      </w:pPr>
      <w:r w:rsidRPr="00771641">
        <w:rPr>
          <w:rFonts w:cs="David" w:hint="cs"/>
          <w:b/>
          <w:bCs/>
          <w:spacing w:val="12"/>
          <w:sz w:val="24"/>
          <w:szCs w:val="24"/>
          <w:u w:val="single"/>
          <w:rtl/>
          <w:lang w:bidi="he-IL"/>
        </w:rPr>
        <w:t xml:space="preserve">ה. </w:t>
      </w:r>
      <w:r w:rsidRPr="00771641">
        <w:rPr>
          <w:rFonts w:cs="David" w:hint="cs"/>
          <w:b/>
          <w:bCs/>
          <w:spacing w:val="12"/>
          <w:sz w:val="24"/>
          <w:szCs w:val="24"/>
          <w:u w:val="single"/>
          <w:rtl/>
        </w:rPr>
        <w:t>העובדות המקנות סמכות לבית המשפט:</w:t>
      </w:r>
    </w:p>
    <w:p w14:paraId="1BF46BF9" w14:textId="798515D5" w:rsidR="005041E1" w:rsidRPr="00771641" w:rsidRDefault="005041E1" w:rsidP="00771641">
      <w:pPr>
        <w:pStyle w:val="ae"/>
        <w:spacing w:after="120" w:line="360" w:lineRule="auto"/>
        <w:ind w:left="27" w:right="142"/>
        <w:jc w:val="both"/>
        <w:rPr>
          <w:rFonts w:cs="David"/>
          <w:spacing w:val="12"/>
          <w:sz w:val="24"/>
          <w:szCs w:val="24"/>
          <w:rtl/>
          <w:lang w:bidi="he-IL"/>
        </w:rPr>
      </w:pPr>
      <w:r w:rsidRPr="00771641">
        <w:rPr>
          <w:rFonts w:cs="David"/>
          <w:spacing w:val="12"/>
          <w:sz w:val="24"/>
          <w:szCs w:val="24"/>
          <w:rtl/>
        </w:rPr>
        <w:t>התובע שומר על זכותו לתקן ו/או להרחיב כתב תביעה זה, לצרף נתבעים נוספים (ובכלל זה מגדל חברה לביטוח בע״מ ו/או איילון חברה לביטוח בע״מ כמבטחת אחריות מקצועית של הסוכנות), ולהגיש חוות דעת מומחה (אקטוארית ו/או רפואית), הכל לפי הצורך ולפי דין.</w:t>
      </w:r>
    </w:p>
    <w:p w14:paraId="636CBA4B" w14:textId="77777777" w:rsidR="005041E1" w:rsidRPr="00771641" w:rsidRDefault="005041E1" w:rsidP="00771641">
      <w:pPr>
        <w:spacing w:after="120" w:line="360" w:lineRule="auto"/>
        <w:ind w:left="27" w:right="-360"/>
        <w:jc w:val="both"/>
        <w:rPr>
          <w:rFonts w:cs="David"/>
          <w:spacing w:val="12"/>
          <w:sz w:val="24"/>
          <w:szCs w:val="24"/>
        </w:rPr>
      </w:pPr>
      <w:r w:rsidRPr="00771641">
        <w:rPr>
          <w:rFonts w:cs="David" w:hint="cs"/>
          <w:spacing w:val="12"/>
          <w:sz w:val="24"/>
          <w:szCs w:val="24"/>
          <w:rtl/>
        </w:rPr>
        <w:t>כל הטענות בכתב תביעה זה נטענות במצטבר או לחילופין, הכל לפי תכנן והקשרן.</w:t>
      </w:r>
    </w:p>
    <w:p w14:paraId="2282DBD0" w14:textId="32109D5D" w:rsidR="005041E1" w:rsidRPr="00771641" w:rsidRDefault="005041E1" w:rsidP="00771641">
      <w:pPr>
        <w:spacing w:after="120" w:line="360" w:lineRule="auto"/>
        <w:ind w:left="27" w:right="-360"/>
        <w:jc w:val="both"/>
        <w:rPr>
          <w:rFonts w:cs="David"/>
          <w:spacing w:val="12"/>
          <w:sz w:val="24"/>
          <w:szCs w:val="24"/>
        </w:rPr>
      </w:pPr>
      <w:r w:rsidRPr="00771641">
        <w:rPr>
          <w:rFonts w:cs="David" w:hint="cs"/>
          <w:spacing w:val="12"/>
          <w:sz w:val="24"/>
          <w:szCs w:val="24"/>
          <w:rtl/>
        </w:rPr>
        <w:t>לבית משפט נכבד זה הסמכות לדון בתביעה על פי מהותה, ערכה ומקום ניהול עסקי הנתב</w:t>
      </w:r>
      <w:r w:rsidRPr="00771641">
        <w:rPr>
          <w:rFonts w:cs="David" w:hint="cs"/>
          <w:spacing w:val="12"/>
          <w:sz w:val="24"/>
          <w:szCs w:val="24"/>
          <w:rtl/>
          <w:lang w:bidi="he-IL"/>
        </w:rPr>
        <w:t>עים</w:t>
      </w:r>
      <w:r w:rsidRPr="00771641">
        <w:rPr>
          <w:rFonts w:cs="David" w:hint="cs"/>
          <w:spacing w:val="12"/>
          <w:sz w:val="24"/>
          <w:szCs w:val="24"/>
          <w:rtl/>
        </w:rPr>
        <w:t xml:space="preserve">. </w:t>
      </w:r>
    </w:p>
    <w:p w14:paraId="183753C7" w14:textId="77777777" w:rsidR="005041E1" w:rsidRPr="00771641" w:rsidRDefault="005041E1" w:rsidP="00771641">
      <w:pPr>
        <w:spacing w:after="120" w:line="360" w:lineRule="auto"/>
        <w:ind w:left="27"/>
        <w:jc w:val="both"/>
        <w:rPr>
          <w:rFonts w:cs="David"/>
          <w:spacing w:val="12"/>
          <w:sz w:val="24"/>
          <w:szCs w:val="24"/>
          <w:rtl/>
        </w:rPr>
      </w:pPr>
      <w:r w:rsidRPr="00771641">
        <w:rPr>
          <w:rFonts w:cs="David" w:hint="cs"/>
          <w:spacing w:val="12"/>
          <w:sz w:val="24"/>
          <w:szCs w:val="24"/>
          <w:rtl/>
        </w:rPr>
        <w:t>אשר על כן, מתבקש כב' ביהמ"ש להזמין את הנתבעים  לדין ולחייבם, לפצות את התובע כמפורט לעיל, בצירוף ריבית חוקית מירבית והפרשי הצמדה מלאים מיום הגשת התביעה ועד לתשלום בפועל, ולרבות הוצאות המשפט, שכ"ט עו"ד ומע"מ.</w:t>
      </w:r>
      <w:r w:rsidRPr="00771641">
        <w:rPr>
          <w:rFonts w:cs="David" w:hint="cs"/>
          <w:spacing w:val="12"/>
          <w:sz w:val="24"/>
          <w:szCs w:val="24"/>
          <w:rtl/>
        </w:rPr>
        <w:tab/>
      </w:r>
    </w:p>
    <w:p w14:paraId="1D95CA38" w14:textId="77777777" w:rsidR="005041E1" w:rsidRDefault="005041E1" w:rsidP="005041E1">
      <w:pPr>
        <w:ind w:left="720"/>
        <w:jc w:val="both"/>
        <w:rPr>
          <w:rFonts w:cs="David"/>
          <w:spacing w:val="12"/>
          <w:sz w:val="26"/>
          <w:szCs w:val="26"/>
          <w:rtl/>
        </w:rPr>
      </w:pPr>
    </w:p>
    <w:p w14:paraId="167B806B" w14:textId="77777777" w:rsidR="005041E1" w:rsidRPr="00B36FE1" w:rsidRDefault="005041E1" w:rsidP="005041E1">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1AFA3395" w14:textId="77777777" w:rsidR="005041E1" w:rsidRPr="00B36FE1" w:rsidRDefault="005041E1" w:rsidP="005041E1">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אריאל פרייברג, עו"ד</w:t>
      </w:r>
    </w:p>
    <w:p w14:paraId="0B99A323" w14:textId="77777777" w:rsidR="005041E1" w:rsidRPr="00B36FE1" w:rsidRDefault="005041E1" w:rsidP="005041E1">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18D0BA4" w14:textId="77777777" w:rsidR="005041E1" w:rsidRDefault="005041E1" w:rsidP="005041E1">
      <w:pPr>
        <w:pStyle w:val="ae"/>
        <w:spacing w:line="360" w:lineRule="auto"/>
        <w:ind w:left="-115" w:right="142"/>
        <w:jc w:val="both"/>
        <w:rPr>
          <w:rFonts w:cs="David"/>
          <w:spacing w:val="12"/>
          <w:sz w:val="26"/>
          <w:szCs w:val="26"/>
          <w:rtl/>
          <w:lang w:bidi="he-IL"/>
        </w:rPr>
      </w:pPr>
    </w:p>
    <w:p w14:paraId="6FFEA04D" w14:textId="77777777" w:rsidR="00FC3943" w:rsidRPr="00FE5ED2" w:rsidRDefault="00FC3943" w:rsidP="005041E1">
      <w:pPr>
        <w:pStyle w:val="ae"/>
        <w:spacing w:line="360" w:lineRule="auto"/>
        <w:ind w:left="-115" w:right="142"/>
        <w:jc w:val="both"/>
        <w:rPr>
          <w:rFonts w:cs="David"/>
          <w:spacing w:val="12"/>
          <w:sz w:val="26"/>
          <w:szCs w:val="26"/>
          <w:lang w:bidi="he-IL"/>
        </w:rPr>
      </w:pPr>
    </w:p>
    <w:p w14:paraId="630B4346" w14:textId="77777777" w:rsidR="000B0DEF" w:rsidRPr="00FE5ED2" w:rsidRDefault="001B111B" w:rsidP="00C10F55">
      <w:pPr>
        <w:spacing w:before="120" w:after="160" w:line="360" w:lineRule="auto"/>
        <w:ind w:right="-426"/>
        <w:jc w:val="both"/>
        <w:rPr>
          <w:rFonts w:cs="David"/>
          <w:spacing w:val="12"/>
          <w:sz w:val="26"/>
          <w:szCs w:val="26"/>
        </w:rPr>
      </w:pPr>
      <w:r w:rsidRPr="00FE5ED2">
        <w:rPr>
          <w:rFonts w:cs="David"/>
          <w:spacing w:val="12"/>
          <w:sz w:val="26"/>
          <w:szCs w:val="26"/>
          <w:rtl/>
        </w:rPr>
        <w:lastRenderedPageBreak/>
        <w:t>ו. רשימת נספחים</w:t>
      </w:r>
    </w:p>
    <w:p w14:paraId="4220D2D5" w14:textId="73F228E4" w:rsidR="000B0DEF" w:rsidRPr="00FE5ED2" w:rsidRDefault="001B111B" w:rsidP="005041E1">
      <w:pPr>
        <w:pStyle w:val="ae"/>
        <w:numPr>
          <w:ilvl w:val="0"/>
          <w:numId w:val="15"/>
        </w:numPr>
        <w:spacing w:line="360" w:lineRule="auto"/>
        <w:ind w:left="168" w:right="-426"/>
        <w:jc w:val="both"/>
        <w:rPr>
          <w:rFonts w:cs="David"/>
          <w:spacing w:val="12"/>
          <w:sz w:val="26"/>
          <w:szCs w:val="26"/>
        </w:rPr>
      </w:pPr>
      <w:r w:rsidRPr="00FE5ED2">
        <w:rPr>
          <w:rFonts w:cs="David"/>
          <w:spacing w:val="12"/>
          <w:sz w:val="26"/>
          <w:szCs w:val="26"/>
          <w:rtl/>
        </w:rPr>
        <w:t>לתמיכה בטענותיו יצרף התובע, בין היתר, את הנספחים שלהלן (או חלקם), שיהיו חלק בלתי נפרד מכתב התביעה:</w:t>
      </w:r>
    </w:p>
    <w:p w14:paraId="00451FA2" w14:textId="77777777" w:rsidR="000B0DEF" w:rsidRPr="00FE5ED2" w:rsidRDefault="001B111B" w:rsidP="00C10F55">
      <w:pPr>
        <w:spacing w:after="40" w:line="360" w:lineRule="auto"/>
        <w:ind w:right="-426"/>
        <w:jc w:val="both"/>
        <w:rPr>
          <w:rFonts w:cs="David"/>
          <w:spacing w:val="12"/>
          <w:sz w:val="26"/>
          <w:szCs w:val="26"/>
        </w:rPr>
      </w:pPr>
      <w:r w:rsidRPr="00FE5ED2">
        <w:rPr>
          <w:rFonts w:cs="David"/>
          <w:spacing w:val="12"/>
          <w:sz w:val="26"/>
          <w:szCs w:val="26"/>
          <w:rtl/>
        </w:rPr>
        <w:t>נספח א׳ – מכתב דרישה לסוכן (טרם פנייה לערכאות);</w:t>
      </w:r>
    </w:p>
    <w:p w14:paraId="76DB2CB1" w14:textId="77777777" w:rsidR="000B0DEF" w:rsidRPr="00FE5ED2" w:rsidRDefault="001B111B" w:rsidP="00C10F55">
      <w:pPr>
        <w:spacing w:after="40" w:line="360" w:lineRule="auto"/>
        <w:ind w:right="-426"/>
        <w:jc w:val="both"/>
        <w:rPr>
          <w:rFonts w:cs="David"/>
          <w:spacing w:val="12"/>
          <w:sz w:val="26"/>
          <w:szCs w:val="26"/>
        </w:rPr>
      </w:pPr>
      <w:r w:rsidRPr="00FE5ED2">
        <w:rPr>
          <w:rFonts w:cs="David"/>
          <w:spacing w:val="12"/>
          <w:sz w:val="26"/>
          <w:szCs w:val="26"/>
          <w:rtl/>
        </w:rPr>
        <w:t>נספח ב׳ – תכתובת דוא״ל בדבר כיסוי אכ״ע עד גיל 75 / שנת 2036;</w:t>
      </w:r>
    </w:p>
    <w:p w14:paraId="514E6DE6" w14:textId="77777777" w:rsidR="000B0DEF" w:rsidRPr="00FE5ED2" w:rsidRDefault="001B111B" w:rsidP="00C10F55">
      <w:pPr>
        <w:spacing w:after="40" w:line="360" w:lineRule="auto"/>
        <w:ind w:right="-426"/>
        <w:jc w:val="both"/>
        <w:rPr>
          <w:rFonts w:cs="David"/>
          <w:spacing w:val="12"/>
          <w:sz w:val="26"/>
          <w:szCs w:val="26"/>
        </w:rPr>
      </w:pPr>
      <w:r w:rsidRPr="00FE5ED2">
        <w:rPr>
          <w:rFonts w:cs="David"/>
          <w:spacing w:val="12"/>
          <w:sz w:val="26"/>
          <w:szCs w:val="26"/>
          <w:rtl/>
        </w:rPr>
        <w:t>נספח ג׳ – דוח שנתי מגדל לשנת 2024 (קצבה חודשית 6,261 ₪; שלוה מורחב; סוכן נחשון דרור);</w:t>
      </w:r>
    </w:p>
    <w:p w14:paraId="48DAF27C" w14:textId="77777777" w:rsidR="000B0DEF" w:rsidRPr="00FE5ED2" w:rsidRDefault="001B111B" w:rsidP="00C10F55">
      <w:pPr>
        <w:spacing w:after="40" w:line="360" w:lineRule="auto"/>
        <w:ind w:right="-426"/>
        <w:jc w:val="both"/>
        <w:rPr>
          <w:rFonts w:cs="David"/>
          <w:spacing w:val="12"/>
          <w:sz w:val="26"/>
          <w:szCs w:val="26"/>
        </w:rPr>
      </w:pPr>
      <w:r w:rsidRPr="00FE5ED2">
        <w:rPr>
          <w:rFonts w:cs="David"/>
          <w:spacing w:val="12"/>
          <w:sz w:val="26"/>
          <w:szCs w:val="26"/>
          <w:rtl/>
        </w:rPr>
        <w:t>נספח ד׳ – מכתבי דחייה של מגדל ומענה בא־כוח התובע;</w:t>
      </w:r>
    </w:p>
    <w:p w14:paraId="12956866" w14:textId="77777777" w:rsidR="000B0DEF" w:rsidRPr="00FE5ED2" w:rsidRDefault="001B111B" w:rsidP="00C10F55">
      <w:pPr>
        <w:spacing w:after="40" w:line="360" w:lineRule="auto"/>
        <w:ind w:right="-426"/>
        <w:jc w:val="both"/>
        <w:rPr>
          <w:rFonts w:cs="David"/>
          <w:spacing w:val="12"/>
          <w:sz w:val="26"/>
          <w:szCs w:val="26"/>
        </w:rPr>
      </w:pPr>
      <w:r w:rsidRPr="00FE5ED2">
        <w:rPr>
          <w:rFonts w:cs="David"/>
          <w:spacing w:val="12"/>
          <w:sz w:val="26"/>
          <w:szCs w:val="26"/>
          <w:rtl/>
        </w:rPr>
        <w:t>נספח ה׳ – מכתב סיום העסקה ו/או אישור מעסיק;</w:t>
      </w:r>
    </w:p>
    <w:p w14:paraId="08D2D35F" w14:textId="77777777" w:rsidR="000B0DEF" w:rsidRPr="00FE5ED2" w:rsidRDefault="001B111B" w:rsidP="00C10F55">
      <w:pPr>
        <w:spacing w:after="40" w:line="360" w:lineRule="auto"/>
        <w:ind w:right="-426"/>
        <w:jc w:val="both"/>
        <w:rPr>
          <w:rFonts w:cs="David"/>
          <w:spacing w:val="12"/>
          <w:sz w:val="26"/>
          <w:szCs w:val="26"/>
        </w:rPr>
      </w:pPr>
      <w:r w:rsidRPr="00FE5ED2">
        <w:rPr>
          <w:rFonts w:cs="David"/>
          <w:spacing w:val="12"/>
          <w:sz w:val="26"/>
          <w:szCs w:val="26"/>
          <w:rtl/>
        </w:rPr>
        <w:t>נספח ו׳ – החלטת המוסד לביטוח לאומי בעניין נכות / אי־כושר;</w:t>
      </w:r>
    </w:p>
    <w:p w14:paraId="1B038D79" w14:textId="77777777" w:rsidR="000B0DEF" w:rsidRPr="00FE5ED2" w:rsidRDefault="001B111B" w:rsidP="00C10F55">
      <w:pPr>
        <w:spacing w:after="40" w:line="360" w:lineRule="auto"/>
        <w:ind w:right="-426"/>
        <w:jc w:val="both"/>
        <w:rPr>
          <w:rFonts w:cs="David"/>
          <w:spacing w:val="12"/>
          <w:sz w:val="26"/>
          <w:szCs w:val="26"/>
        </w:rPr>
      </w:pPr>
      <w:r w:rsidRPr="00FE5ED2">
        <w:rPr>
          <w:rFonts w:cs="David"/>
          <w:spacing w:val="12"/>
          <w:sz w:val="26"/>
          <w:szCs w:val="26"/>
          <w:rtl/>
        </w:rPr>
        <w:t>נספח ז׳ – ייפוי כוח ותיעוד רפואי רלוונטי (ובכלל זה סיכום צנתור);</w:t>
      </w:r>
    </w:p>
    <w:p w14:paraId="72572A01" w14:textId="77777777" w:rsidR="000B0DEF" w:rsidRPr="00FE5ED2" w:rsidRDefault="001B111B" w:rsidP="00C10F55">
      <w:pPr>
        <w:spacing w:after="40" w:line="360" w:lineRule="auto"/>
        <w:ind w:right="-426"/>
        <w:jc w:val="both"/>
        <w:rPr>
          <w:rFonts w:cs="David"/>
          <w:spacing w:val="12"/>
          <w:sz w:val="26"/>
          <w:szCs w:val="26"/>
        </w:rPr>
      </w:pPr>
      <w:r w:rsidRPr="00FE5ED2">
        <w:rPr>
          <w:rFonts w:cs="David"/>
          <w:spacing w:val="12"/>
          <w:sz w:val="26"/>
          <w:szCs w:val="26"/>
          <w:rtl/>
        </w:rPr>
        <w:t>נספח ח׳ – התכתבות מול איילון בעניין אחריות מקצועית של הסוכנות;</w:t>
      </w:r>
    </w:p>
    <w:p w14:paraId="14F35A68" w14:textId="77777777" w:rsidR="000B0DEF" w:rsidRPr="00FE5ED2" w:rsidRDefault="001B111B" w:rsidP="00C10F55">
      <w:pPr>
        <w:spacing w:line="360" w:lineRule="auto"/>
        <w:ind w:right="-426"/>
        <w:jc w:val="both"/>
        <w:rPr>
          <w:rFonts w:cs="David"/>
          <w:spacing w:val="12"/>
          <w:sz w:val="26"/>
          <w:szCs w:val="26"/>
        </w:rPr>
      </w:pPr>
      <w:r w:rsidRPr="00FE5ED2">
        <w:rPr>
          <w:rFonts w:cs="David"/>
          <w:spacing w:val="12"/>
          <w:sz w:val="26"/>
          <w:szCs w:val="26"/>
          <w:rtl/>
        </w:rPr>
        <w:t>נספח ט׳ – העתק רלוונטי מן הפוליסה ו/או מרשימת הכיסויים (ככל שבידי התובע; ולחילופין יתבקש גילוי מסמכים).</w:t>
      </w:r>
    </w:p>
    <w:sectPr w:rsidR="000B0DEF" w:rsidRPr="00FE5ED2" w:rsidSect="00FC3943">
      <w:pgSz w:w="11906" w:h="16838"/>
      <w:pgMar w:top="1134" w:right="1247" w:bottom="1134" w:left="1276"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8197634"/>
    <w:multiLevelType w:val="hybridMultilevel"/>
    <w:tmpl w:val="16D2E7AA"/>
    <w:lvl w:ilvl="0" w:tplc="BC2093F8">
      <w:start w:val="3"/>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1" w15:restartNumberingAfterBreak="0">
    <w:nsid w:val="57C0262A"/>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5CA55FC5"/>
    <w:multiLevelType w:val="hybridMultilevel"/>
    <w:tmpl w:val="767AB2F6"/>
    <w:lvl w:ilvl="0" w:tplc="1B922ADE">
      <w:start w:val="1"/>
      <w:numFmt w:val="decimal"/>
      <w:lvlText w:val="%1."/>
      <w:lvlJc w:val="left"/>
      <w:pPr>
        <w:ind w:left="720" w:hanging="360"/>
      </w:pPr>
      <w:rPr>
        <w:rFonts w:ascii="David" w:hAnsi="David" w:cs="David" w:hint="default"/>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D10196"/>
    <w:multiLevelType w:val="hybridMultilevel"/>
    <w:tmpl w:val="773A83E8"/>
    <w:lvl w:ilvl="0" w:tplc="D7E636E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3"/>
  </w:num>
  <w:num w:numId="12">
    <w:abstractNumId w:val="14"/>
  </w:num>
  <w:num w:numId="13">
    <w:abstractNumId w:val="10"/>
  </w:num>
  <w:num w:numId="14">
    <w:abstractNumId w:val="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0DEF"/>
    <w:rsid w:val="0015074B"/>
    <w:rsid w:val="001601EA"/>
    <w:rsid w:val="00170758"/>
    <w:rsid w:val="001B111B"/>
    <w:rsid w:val="001C7D63"/>
    <w:rsid w:val="0029639D"/>
    <w:rsid w:val="00326F90"/>
    <w:rsid w:val="00450436"/>
    <w:rsid w:val="005041E1"/>
    <w:rsid w:val="00644F60"/>
    <w:rsid w:val="00771641"/>
    <w:rsid w:val="0089749F"/>
    <w:rsid w:val="00A75E10"/>
    <w:rsid w:val="00AA1D8D"/>
    <w:rsid w:val="00AC4786"/>
    <w:rsid w:val="00B10A67"/>
    <w:rsid w:val="00B47730"/>
    <w:rsid w:val="00C10F55"/>
    <w:rsid w:val="00CB0664"/>
    <w:rsid w:val="00E70BA6"/>
    <w:rsid w:val="00FC3943"/>
    <w:rsid w:val="00FC693F"/>
    <w:rsid w:val="00FE5ED2"/>
  </w:rsids>
  <m:mathPr>
    <m:mathFont m:val="Cambria Math"/>
    <m:brkBin m:val="before"/>
    <m:brkBinSub m:val="--"/>
    <m:smallFrac m:val="0"/>
    <m:dispDef/>
    <m:lMargin m:val="0"/>
    <m:rMargin m:val="0"/>
    <m:defJc m:val="centerGroup"/>
    <m:wrapIndent m:val="1440"/>
    <m:intLim m:val="subSup"/>
    <m:naryLim m:val="undOvr"/>
  </m:mathPr>
  <w:themeFontLang w:val="he-IL" w:eastAsia="he-IL"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40EF5C"/>
  <w14:defaultImageDpi w14:val="300"/>
  <w15:docId w15:val="{C4229EB2-82BD-48F0-BCE1-9DD3D612F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bidi/>
      <w:jc w:val="right"/>
    </w:pPr>
    <w:rPr>
      <w:rFonts w:ascii="David" w:hAnsi="David"/>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כותרת עליונה תו"/>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כותרת תחתונה תו"/>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כותרת 1 תו"/>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כותרת 3 תו"/>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כותרת טקסט תו"/>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כותרת משנה תו"/>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גוף טקסט תו"/>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גוף טקסט 2 תו"/>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גוף טקסט 3 תו"/>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טקסט מאקרו תו"/>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ציטוט תו"/>
    <w:basedOn w:val="a2"/>
    <w:link w:val="af5"/>
    <w:uiPriority w:val="29"/>
    <w:rsid w:val="00FC693F"/>
    <w:rPr>
      <w:i/>
      <w:iCs/>
      <w:color w:val="000000" w:themeColor="text1"/>
    </w:rPr>
  </w:style>
  <w:style w:type="character" w:customStyle="1" w:styleId="40">
    <w:name w:val="כותרת 4 תו"/>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כותרת 5 תו"/>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כותרת 6 תו"/>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כותרת 7 תו"/>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כותרת 9 תו"/>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ציטוט חזק תו"/>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2">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1C7D6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ffice@freiberg-law.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1455</Words>
  <Characters>7279</Characters>
  <Application>Microsoft Office Word</Application>
  <DocSecurity>0</DocSecurity>
  <Lines>60</Lines>
  <Paragraphs>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8717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איתן פלהיימר</cp:lastModifiedBy>
  <cp:revision>3</cp:revision>
  <dcterms:created xsi:type="dcterms:W3CDTF">2026-09-14T08:57:00Z</dcterms:created>
  <dcterms:modified xsi:type="dcterms:W3CDTF">2026-10-08T14:30:00Z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EITAN</vt:lpwstr>
  </property>
  <property fmtid="{D5CDD505-2E9C-101B-9397-08002B2CF9AE}" pid="5" name="DocCounter">
    <vt:lpwstr>1030792</vt:lpwstr>
  </property>
</Properties>
</file>