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AB3E9A0" w:rsidR="00086A6A" w:rsidRPr="00563888" w:rsidRDefault="00D43E52"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7FB74225" w14:textId="77777777" w:rsidR="008D2061" w:rsidRPr="00823F8A" w:rsidRDefault="008D2061" w:rsidP="008D2061">
      <w:pPr>
        <w:spacing w:line="240" w:lineRule="auto"/>
        <w:rPr>
          <w:b/>
          <w:bCs/>
          <w:sz w:val="26"/>
          <w:szCs w:val="26"/>
          <w:rtl/>
        </w:rPr>
      </w:pPr>
      <w:r w:rsidRPr="00823F8A">
        <w:rPr>
          <w:b/>
          <w:bCs/>
          <w:sz w:val="26"/>
          <w:szCs w:val="26"/>
          <w:rtl/>
        </w:rPr>
        <w:t>לכבוד</w:t>
      </w:r>
    </w:p>
    <w:p w14:paraId="3471881E" w14:textId="77777777" w:rsidR="008D2061" w:rsidRDefault="008D2061" w:rsidP="008D2061">
      <w:pPr>
        <w:spacing w:line="240" w:lineRule="auto"/>
        <w:rPr>
          <w:b/>
          <w:bCs/>
          <w:sz w:val="26"/>
          <w:szCs w:val="26"/>
          <w:rtl/>
        </w:rPr>
      </w:pPr>
      <w:r>
        <w:rPr>
          <w:rFonts w:hint="cs"/>
          <w:b/>
          <w:bCs/>
          <w:sz w:val="26"/>
          <w:szCs w:val="26"/>
          <w:rtl/>
        </w:rPr>
        <w:t>המוסד לביטוח לאומי</w:t>
      </w:r>
    </w:p>
    <w:p w14:paraId="027FB859" w14:textId="56487E2A" w:rsidR="008D2061" w:rsidRPr="006214A0" w:rsidRDefault="008D2061" w:rsidP="008D2061">
      <w:pPr>
        <w:spacing w:line="240" w:lineRule="auto"/>
        <w:rPr>
          <w:b/>
          <w:bCs/>
          <w:sz w:val="26"/>
          <w:szCs w:val="26"/>
          <w:rtl/>
        </w:rPr>
      </w:pPr>
      <w:r>
        <w:rPr>
          <w:rFonts w:hint="cs"/>
          <w:b/>
          <w:bCs/>
          <w:sz w:val="26"/>
          <w:szCs w:val="26"/>
          <w:rtl/>
        </w:rPr>
        <w:t>ענף</w:t>
      </w:r>
      <w:r w:rsidR="00A47080">
        <w:rPr>
          <w:rFonts w:hint="cs"/>
          <w:b/>
          <w:bCs/>
          <w:sz w:val="26"/>
          <w:szCs w:val="26"/>
          <w:rtl/>
        </w:rPr>
        <w:t xml:space="preserve"> נפגעי עבודה</w:t>
      </w:r>
      <w:r>
        <w:rPr>
          <w:rFonts w:hint="cs"/>
          <w:b/>
          <w:bCs/>
          <w:sz w:val="26"/>
          <w:szCs w:val="26"/>
          <w:rtl/>
        </w:rPr>
        <w:t xml:space="preserve"> </w:t>
      </w:r>
    </w:p>
    <w:p w14:paraId="78CFF2D0" w14:textId="77777777" w:rsidR="008D2061" w:rsidRPr="006214A0" w:rsidRDefault="008D2061" w:rsidP="008D2061">
      <w:pPr>
        <w:spacing w:line="240" w:lineRule="auto"/>
        <w:rPr>
          <w:b/>
          <w:bCs/>
          <w:sz w:val="26"/>
          <w:szCs w:val="26"/>
          <w:u w:val="single"/>
        </w:rPr>
      </w:pPr>
      <w:r w:rsidRPr="006214A0">
        <w:rPr>
          <w:rFonts w:hint="cs"/>
          <w:b/>
          <w:bCs/>
          <w:sz w:val="26"/>
          <w:szCs w:val="26"/>
          <w:u w:val="single"/>
          <w:rtl/>
        </w:rPr>
        <w:t xml:space="preserve">באמצעות </w:t>
      </w:r>
      <w:r>
        <w:rPr>
          <w:rFonts w:hint="cs"/>
          <w:b/>
          <w:bCs/>
          <w:sz w:val="26"/>
          <w:szCs w:val="26"/>
          <w:u w:val="single"/>
          <w:rtl/>
        </w:rPr>
        <w:t>האתר</w:t>
      </w:r>
    </w:p>
    <w:p w14:paraId="77A3A795" w14:textId="6DBF9F56" w:rsidR="008D2061" w:rsidRPr="009F28C8" w:rsidRDefault="008D2061" w:rsidP="009F28C8">
      <w:pPr>
        <w:spacing w:line="240" w:lineRule="auto"/>
        <w:rPr>
          <w:b/>
          <w:bCs/>
          <w:sz w:val="26"/>
          <w:szCs w:val="26"/>
        </w:rPr>
      </w:pPr>
      <w:proofErr w:type="spellStart"/>
      <w:r w:rsidRPr="00823F8A">
        <w:rPr>
          <w:sz w:val="26"/>
          <w:szCs w:val="26"/>
          <w:rtl/>
        </w:rPr>
        <w:t>א.ג.נ</w:t>
      </w:r>
      <w:proofErr w:type="spellEnd"/>
      <w:r w:rsidRPr="00823F8A">
        <w:rPr>
          <w:sz w:val="26"/>
          <w:szCs w:val="26"/>
          <w:rtl/>
        </w:rPr>
        <w:t>.,</w:t>
      </w:r>
      <w:r w:rsidR="009F28C8">
        <w:rPr>
          <w:sz w:val="26"/>
          <w:szCs w:val="26"/>
          <w:rtl/>
        </w:rPr>
        <w:tab/>
      </w:r>
      <w:r w:rsidR="009F28C8">
        <w:rPr>
          <w:sz w:val="26"/>
          <w:szCs w:val="26"/>
          <w:rtl/>
        </w:rPr>
        <w:tab/>
      </w:r>
      <w:r w:rsidR="009F28C8">
        <w:rPr>
          <w:sz w:val="26"/>
          <w:szCs w:val="26"/>
          <w:rtl/>
        </w:rPr>
        <w:tab/>
      </w:r>
      <w:r w:rsidR="009F28C8">
        <w:rPr>
          <w:sz w:val="26"/>
          <w:szCs w:val="26"/>
          <w:rtl/>
        </w:rPr>
        <w:tab/>
      </w:r>
      <w:r w:rsidR="009F28C8">
        <w:rPr>
          <w:sz w:val="26"/>
          <w:szCs w:val="26"/>
          <w:rtl/>
        </w:rPr>
        <w:tab/>
      </w:r>
    </w:p>
    <w:p w14:paraId="0E55E70B" w14:textId="2436D9CE" w:rsidR="008D2061" w:rsidRPr="003542CF" w:rsidRDefault="008D2061" w:rsidP="009F28C8">
      <w:pPr>
        <w:spacing w:line="240" w:lineRule="auto"/>
        <w:jc w:val="center"/>
        <w:rPr>
          <w:b/>
          <w:sz w:val="26"/>
          <w:szCs w:val="26"/>
          <w:u w:val="single"/>
          <w:rtl/>
        </w:rPr>
      </w:pPr>
      <w:r w:rsidRPr="003542CF">
        <w:rPr>
          <w:sz w:val="26"/>
          <w:szCs w:val="26"/>
          <w:rtl/>
        </w:rPr>
        <w:t xml:space="preserve">     </w:t>
      </w:r>
      <w:proofErr w:type="spellStart"/>
      <w:r w:rsidRPr="003542CF">
        <w:rPr>
          <w:sz w:val="26"/>
          <w:szCs w:val="26"/>
          <w:rtl/>
        </w:rPr>
        <w:t>הנדון</w:t>
      </w:r>
      <w:r w:rsidR="00D030BA">
        <w:rPr>
          <w:rFonts w:hint="cs"/>
          <w:sz w:val="26"/>
          <w:szCs w:val="26"/>
          <w:rtl/>
        </w:rPr>
        <w:t>:</w:t>
      </w:r>
      <w:r w:rsidR="00D030BA" w:rsidRPr="00D030BA">
        <w:rPr>
          <w:rFonts w:hint="cs"/>
          <w:b/>
          <w:bCs/>
          <w:sz w:val="26"/>
          <w:szCs w:val="26"/>
          <w:u w:val="single"/>
          <w:rtl/>
        </w:rPr>
        <w:t>נתנאל</w:t>
      </w:r>
      <w:proofErr w:type="spellEnd"/>
      <w:r w:rsidR="00D030BA" w:rsidRPr="00D030BA">
        <w:rPr>
          <w:rFonts w:hint="cs"/>
          <w:b/>
          <w:bCs/>
          <w:sz w:val="26"/>
          <w:szCs w:val="26"/>
          <w:u w:val="single"/>
          <w:rtl/>
        </w:rPr>
        <w:t xml:space="preserve"> </w:t>
      </w:r>
      <w:proofErr w:type="spellStart"/>
      <w:r w:rsidR="00D030BA" w:rsidRPr="00D030BA">
        <w:rPr>
          <w:rFonts w:hint="cs"/>
          <w:b/>
          <w:bCs/>
          <w:sz w:val="26"/>
          <w:szCs w:val="26"/>
          <w:u w:val="single"/>
          <w:rtl/>
        </w:rPr>
        <w:t>פדידה</w:t>
      </w:r>
      <w:proofErr w:type="spellEnd"/>
      <w:r w:rsidR="00D030BA" w:rsidRPr="00D030BA">
        <w:rPr>
          <w:rFonts w:hint="cs"/>
          <w:b/>
          <w:bCs/>
          <w:sz w:val="26"/>
          <w:szCs w:val="26"/>
          <w:u w:val="single"/>
          <w:rtl/>
        </w:rPr>
        <w:t xml:space="preserve"> </w:t>
      </w:r>
      <w:r w:rsidR="0077030A" w:rsidRPr="00D030BA">
        <w:rPr>
          <w:rFonts w:hint="cs"/>
          <w:b/>
          <w:bCs/>
          <w:sz w:val="26"/>
          <w:szCs w:val="26"/>
          <w:u w:val="single"/>
          <w:rtl/>
        </w:rPr>
        <w:t xml:space="preserve">, ת"ז </w:t>
      </w:r>
      <w:r w:rsidR="00D030BA" w:rsidRPr="00D030BA">
        <w:rPr>
          <w:rFonts w:hint="cs"/>
          <w:b/>
          <w:bCs/>
          <w:sz w:val="26"/>
          <w:szCs w:val="26"/>
          <w:u w:val="single"/>
          <w:rtl/>
        </w:rPr>
        <w:t>305278483</w:t>
      </w:r>
    </w:p>
    <w:p w14:paraId="065919F4" w14:textId="65098EE0" w:rsidR="00D3318F" w:rsidRPr="008D0502" w:rsidRDefault="009F28C8" w:rsidP="00D15729">
      <w:pPr>
        <w:pStyle w:val="a8"/>
        <w:spacing w:line="240" w:lineRule="auto"/>
        <w:rPr>
          <w:rFonts w:ascii="David" w:hAnsi="David"/>
          <w:b/>
          <w:bCs/>
          <w:sz w:val="28"/>
          <w:szCs w:val="28"/>
          <w:u w:val="single"/>
          <w:rtl/>
        </w:rPr>
      </w:pP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sidRPr="009F28C8">
        <w:rPr>
          <w:rFonts w:hint="cs"/>
          <w:b/>
          <w:bCs/>
          <w:sz w:val="26"/>
          <w:szCs w:val="26"/>
          <w:rtl/>
        </w:rPr>
        <w:t>ערר</w:t>
      </w:r>
      <w:r>
        <w:rPr>
          <w:rFonts w:hint="cs"/>
          <w:sz w:val="26"/>
          <w:szCs w:val="26"/>
          <w:rtl/>
        </w:rPr>
        <w:t xml:space="preserve"> </w:t>
      </w:r>
      <w:r w:rsidRPr="009F28C8">
        <w:rPr>
          <w:rFonts w:hint="cs"/>
          <w:b/>
          <w:bCs/>
          <w:sz w:val="26"/>
          <w:szCs w:val="26"/>
          <w:rtl/>
        </w:rPr>
        <w:t>על החלטת הוועדה הרפואית מדרג ראשון</w:t>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6957A5D5" w14:textId="63F85A18" w:rsidR="009F28C8" w:rsidRDefault="009F28C8" w:rsidP="00B052A6">
      <w:pPr>
        <w:spacing w:after="0" w:line="480" w:lineRule="auto"/>
        <w:ind w:right="1440"/>
        <w:rPr>
          <w:sz w:val="26"/>
          <w:szCs w:val="26"/>
        </w:rPr>
      </w:pPr>
      <w:r>
        <w:rPr>
          <w:rFonts w:hint="cs"/>
          <w:sz w:val="26"/>
          <w:szCs w:val="26"/>
          <w:rtl/>
        </w:rPr>
        <w:t xml:space="preserve">מוגש בזאת ערר על החלטת הוועדה הנכבדה מתאריך </w:t>
      </w:r>
      <w:r w:rsidR="00D030BA">
        <w:rPr>
          <w:rFonts w:hint="cs"/>
          <w:sz w:val="26"/>
          <w:szCs w:val="26"/>
          <w:rtl/>
        </w:rPr>
        <w:t xml:space="preserve">18.6.26 </w:t>
      </w:r>
      <w:r w:rsidR="0088502A">
        <w:rPr>
          <w:rFonts w:hint="cs"/>
          <w:sz w:val="26"/>
          <w:szCs w:val="26"/>
          <w:rtl/>
        </w:rPr>
        <w:t xml:space="preserve"> </w:t>
      </w:r>
      <w:r>
        <w:rPr>
          <w:rFonts w:hint="cs"/>
          <w:sz w:val="26"/>
          <w:szCs w:val="26"/>
          <w:rtl/>
        </w:rPr>
        <w:t>כדלקמן:</w:t>
      </w:r>
    </w:p>
    <w:p w14:paraId="56EE73E2" w14:textId="53BCCFF3" w:rsidR="00F60176" w:rsidRPr="00D030BA" w:rsidRDefault="00D030BA" w:rsidP="004A2DA6">
      <w:pPr>
        <w:numPr>
          <w:ilvl w:val="0"/>
          <w:numId w:val="4"/>
        </w:numPr>
        <w:tabs>
          <w:tab w:val="num" w:pos="386"/>
        </w:tabs>
        <w:spacing w:after="240"/>
        <w:ind w:left="334" w:hanging="357"/>
        <w:rPr>
          <w:sz w:val="26"/>
          <w:szCs w:val="26"/>
        </w:rPr>
      </w:pPr>
      <w:r w:rsidRPr="00D030BA">
        <w:rPr>
          <w:rFonts w:hint="cs"/>
          <w:b/>
          <w:bCs/>
          <w:sz w:val="26"/>
          <w:szCs w:val="26"/>
          <w:rtl/>
        </w:rPr>
        <w:t>הוועדה הנכבדה מדרג א' שגתה במסקנותיה ובהחלטתה הן בתחום האורתופדי והן בתחום הנוירולוגי שעה שלא קבעה כי לתובע נותרו פגימות המקנות נכות, בניגוד גמור לתיעוד הרפואי שניתן בעניינו, לממצאים, להערכת המומחה ד"ר דיין ולממצאיה שלה עצמה!</w:t>
      </w:r>
    </w:p>
    <w:p w14:paraId="61DE4308" w14:textId="393E5423" w:rsidR="00D030BA" w:rsidRDefault="00D030BA" w:rsidP="004A2DA6">
      <w:pPr>
        <w:numPr>
          <w:ilvl w:val="0"/>
          <w:numId w:val="4"/>
        </w:numPr>
        <w:tabs>
          <w:tab w:val="num" w:pos="386"/>
        </w:tabs>
        <w:spacing w:after="240"/>
        <w:ind w:left="334" w:hanging="357"/>
        <w:rPr>
          <w:b/>
          <w:bCs/>
          <w:sz w:val="26"/>
          <w:szCs w:val="26"/>
        </w:rPr>
      </w:pPr>
      <w:r>
        <w:rPr>
          <w:rFonts w:hint="cs"/>
          <w:b/>
          <w:sz w:val="26"/>
          <w:szCs w:val="26"/>
          <w:rtl/>
        </w:rPr>
        <w:t xml:space="preserve">עסקינן בנפגע אשר היה מעורב בתאונה </w:t>
      </w:r>
      <w:proofErr w:type="spellStart"/>
      <w:r>
        <w:rPr>
          <w:rFonts w:hint="cs"/>
          <w:b/>
          <w:sz w:val="26"/>
          <w:szCs w:val="26"/>
          <w:rtl/>
        </w:rPr>
        <w:t>בקינמטיקה</w:t>
      </w:r>
      <w:proofErr w:type="spellEnd"/>
      <w:r>
        <w:rPr>
          <w:rFonts w:hint="cs"/>
          <w:b/>
          <w:sz w:val="26"/>
          <w:szCs w:val="26"/>
          <w:rtl/>
        </w:rPr>
        <w:t xml:space="preserve"> קשה (מעורבת רכב ומשאית) לאחריה ועד היום סובל מכאבים והגבלה בתנועות הצוואר והגב ומכאבי ראש.</w:t>
      </w:r>
    </w:p>
    <w:p w14:paraId="3F47A724" w14:textId="28D48084" w:rsidR="00D030BA" w:rsidRPr="00D030BA" w:rsidRDefault="00D030BA" w:rsidP="004A2DA6">
      <w:pPr>
        <w:numPr>
          <w:ilvl w:val="0"/>
          <w:numId w:val="4"/>
        </w:numPr>
        <w:tabs>
          <w:tab w:val="num" w:pos="386"/>
        </w:tabs>
        <w:spacing w:after="240"/>
        <w:ind w:left="334" w:hanging="357"/>
        <w:rPr>
          <w:b/>
          <w:bCs/>
          <w:sz w:val="26"/>
          <w:szCs w:val="26"/>
        </w:rPr>
      </w:pPr>
      <w:r>
        <w:rPr>
          <w:rFonts w:hint="cs"/>
          <w:sz w:val="26"/>
          <w:szCs w:val="26"/>
          <w:rtl/>
        </w:rPr>
        <w:t>התיעוד הרפואי שניתן בעניינו מציין מפורשות, פעם אחר פעם, כי הוא סובל מכאבים והגבלה בתנועות</w:t>
      </w:r>
      <w:r w:rsidR="004A2DA6">
        <w:rPr>
          <w:rFonts w:hint="cs"/>
          <w:sz w:val="26"/>
          <w:szCs w:val="26"/>
          <w:rtl/>
        </w:rPr>
        <w:t xml:space="preserve"> </w:t>
      </w:r>
      <w:r w:rsidR="004A2DA6">
        <w:rPr>
          <w:sz w:val="26"/>
          <w:szCs w:val="26"/>
          <w:rtl/>
        </w:rPr>
        <w:t>–</w:t>
      </w:r>
      <w:r w:rsidR="004A2DA6">
        <w:rPr>
          <w:rFonts w:hint="cs"/>
          <w:sz w:val="26"/>
          <w:szCs w:val="26"/>
          <w:rtl/>
        </w:rPr>
        <w:t xml:space="preserve"> זהו ממצא שנכתב וניתן בזמן אמת.</w:t>
      </w:r>
      <w:r>
        <w:rPr>
          <w:rFonts w:hint="cs"/>
          <w:sz w:val="26"/>
          <w:szCs w:val="26"/>
          <w:rtl/>
        </w:rPr>
        <w:t xml:space="preserve"> </w:t>
      </w:r>
      <w:r w:rsidR="004A2DA6">
        <w:rPr>
          <w:rFonts w:hint="cs"/>
          <w:sz w:val="26"/>
          <w:szCs w:val="26"/>
          <w:rtl/>
        </w:rPr>
        <w:t>נוכח ומחמת מצבו</w:t>
      </w:r>
      <w:r>
        <w:rPr>
          <w:rFonts w:hint="cs"/>
          <w:sz w:val="26"/>
          <w:szCs w:val="26"/>
          <w:rtl/>
        </w:rPr>
        <w:t xml:space="preserve"> הוחלט</w:t>
      </w:r>
      <w:r w:rsidR="004A2DA6">
        <w:rPr>
          <w:rFonts w:hint="cs"/>
          <w:sz w:val="26"/>
          <w:szCs w:val="26"/>
          <w:rtl/>
        </w:rPr>
        <w:t xml:space="preserve"> על המשך טיפול שמרני, ביצוע בירור, טיפולי פיזיותרפיה, </w:t>
      </w:r>
      <w:r>
        <w:rPr>
          <w:rFonts w:hint="cs"/>
          <w:sz w:val="26"/>
          <w:szCs w:val="26"/>
          <w:rtl/>
        </w:rPr>
        <w:t>בדיקת מומחה</w:t>
      </w:r>
      <w:r w:rsidR="004A2DA6">
        <w:rPr>
          <w:rFonts w:hint="cs"/>
          <w:sz w:val="26"/>
          <w:szCs w:val="26"/>
          <w:rtl/>
        </w:rPr>
        <w:t>/ים</w:t>
      </w:r>
      <w:r>
        <w:rPr>
          <w:rFonts w:hint="cs"/>
          <w:sz w:val="26"/>
          <w:szCs w:val="26"/>
          <w:rtl/>
        </w:rPr>
        <w:t>, דימות ו</w:t>
      </w:r>
      <w:r w:rsidR="004A2DA6">
        <w:rPr>
          <w:rFonts w:hint="cs"/>
          <w:sz w:val="26"/>
          <w:szCs w:val="26"/>
          <w:rtl/>
        </w:rPr>
        <w:t>בהמשך טיפול ב</w:t>
      </w:r>
      <w:r>
        <w:rPr>
          <w:rFonts w:hint="cs"/>
          <w:sz w:val="26"/>
          <w:szCs w:val="26"/>
          <w:rtl/>
        </w:rPr>
        <w:t>מרפאת כאב.</w:t>
      </w:r>
    </w:p>
    <w:p w14:paraId="15A1263F" w14:textId="085762AB" w:rsidR="00D030BA" w:rsidRPr="001334A9" w:rsidRDefault="00D030BA" w:rsidP="004A2DA6">
      <w:pPr>
        <w:numPr>
          <w:ilvl w:val="0"/>
          <w:numId w:val="4"/>
        </w:numPr>
        <w:tabs>
          <w:tab w:val="num" w:pos="386"/>
        </w:tabs>
        <w:spacing w:after="240"/>
        <w:ind w:left="334" w:hanging="357"/>
        <w:rPr>
          <w:b/>
          <w:bCs/>
          <w:sz w:val="26"/>
          <w:szCs w:val="26"/>
        </w:rPr>
      </w:pPr>
      <w:r>
        <w:rPr>
          <w:rFonts w:hint="cs"/>
          <w:sz w:val="26"/>
          <w:szCs w:val="26"/>
          <w:rtl/>
        </w:rPr>
        <w:t>בדיקות הדימות שבוצעו לו הדגימו ממצאים אובייקטיביים שיש בהם כדי לתמוך</w:t>
      </w:r>
      <w:r w:rsidR="001334A9">
        <w:rPr>
          <w:rFonts w:hint="cs"/>
          <w:sz w:val="26"/>
          <w:szCs w:val="26"/>
          <w:rtl/>
        </w:rPr>
        <w:t>/להסביר את הכאבים וההגבלה מהם סובל לאחר התאונה וכתוצאה ממנה.</w:t>
      </w:r>
    </w:p>
    <w:p w14:paraId="590F78F5" w14:textId="751ABFF0" w:rsidR="001334A9" w:rsidRPr="00E024D4" w:rsidRDefault="001334A9" w:rsidP="004A2DA6">
      <w:pPr>
        <w:numPr>
          <w:ilvl w:val="0"/>
          <w:numId w:val="4"/>
        </w:numPr>
        <w:tabs>
          <w:tab w:val="num" w:pos="386"/>
        </w:tabs>
        <w:spacing w:after="240"/>
        <w:ind w:left="334" w:hanging="357"/>
        <w:rPr>
          <w:b/>
          <w:bCs/>
          <w:sz w:val="26"/>
          <w:szCs w:val="26"/>
        </w:rPr>
      </w:pPr>
      <w:r w:rsidRPr="00E024D4">
        <w:rPr>
          <w:rFonts w:hint="cs"/>
          <w:b/>
          <w:bCs/>
          <w:sz w:val="26"/>
          <w:szCs w:val="26"/>
          <w:rtl/>
        </w:rPr>
        <w:t xml:space="preserve">תעודות רפואיות אובייקטיביות שניתנו לו בזמן אמת מציינות הגבלה, בדימות ניתן לראות ממצאים שעולים בקנה אחד עם תלונותיו, ד"ר דיין אשר בדק אותו בדיקה מקיפה קובע גם הוא כאמור, אלא, שבניגוד לכל אלה </w:t>
      </w:r>
      <w:r w:rsidRPr="00E024D4">
        <w:rPr>
          <w:b/>
          <w:bCs/>
          <w:sz w:val="26"/>
          <w:szCs w:val="26"/>
          <w:rtl/>
        </w:rPr>
        <w:t>–</w:t>
      </w:r>
      <w:r w:rsidRPr="00E024D4">
        <w:rPr>
          <w:rFonts w:hint="cs"/>
          <w:b/>
          <w:bCs/>
          <w:sz w:val="26"/>
          <w:szCs w:val="26"/>
          <w:rtl/>
        </w:rPr>
        <w:t xml:space="preserve"> קובעת הוועדה הנכבדה מדרג א' </w:t>
      </w:r>
      <w:r w:rsidRPr="00E024D4">
        <w:rPr>
          <w:b/>
          <w:bCs/>
          <w:sz w:val="26"/>
          <w:szCs w:val="26"/>
          <w:rtl/>
        </w:rPr>
        <w:t>–</w:t>
      </w:r>
      <w:r w:rsidRPr="00E024D4">
        <w:rPr>
          <w:rFonts w:hint="cs"/>
          <w:b/>
          <w:bCs/>
          <w:sz w:val="26"/>
          <w:szCs w:val="26"/>
          <w:rtl/>
        </w:rPr>
        <w:t xml:space="preserve"> כי לא נותרה נכות.</w:t>
      </w:r>
    </w:p>
    <w:p w14:paraId="7840CCD9" w14:textId="0119A207" w:rsidR="001334A9" w:rsidRDefault="001334A9" w:rsidP="004A2DA6">
      <w:pPr>
        <w:numPr>
          <w:ilvl w:val="0"/>
          <w:numId w:val="4"/>
        </w:numPr>
        <w:tabs>
          <w:tab w:val="num" w:pos="386"/>
        </w:tabs>
        <w:spacing w:after="240"/>
        <w:ind w:left="334" w:hanging="357"/>
        <w:rPr>
          <w:sz w:val="26"/>
          <w:szCs w:val="26"/>
        </w:rPr>
      </w:pPr>
      <w:r w:rsidRPr="001334A9">
        <w:rPr>
          <w:rFonts w:hint="cs"/>
          <w:sz w:val="26"/>
          <w:szCs w:val="26"/>
          <w:rtl/>
        </w:rPr>
        <w:t xml:space="preserve">הוועדה הנכבדה </w:t>
      </w:r>
      <w:r>
        <w:rPr>
          <w:rFonts w:hint="cs"/>
          <w:sz w:val="26"/>
          <w:szCs w:val="26"/>
          <w:rtl/>
        </w:rPr>
        <w:t xml:space="preserve">שגתה בקביעתה </w:t>
      </w:r>
      <w:r w:rsidRPr="001334A9">
        <w:rPr>
          <w:rFonts w:hint="cs"/>
          <w:sz w:val="26"/>
          <w:szCs w:val="26"/>
          <w:rtl/>
        </w:rPr>
        <w:t xml:space="preserve">כי התובע התכופף באופן שהגיע עם הידיים לשוקיים </w:t>
      </w:r>
      <w:r w:rsidRPr="001334A9">
        <w:rPr>
          <w:sz w:val="26"/>
          <w:szCs w:val="26"/>
          <w:rtl/>
        </w:rPr>
        <w:t>–</w:t>
      </w:r>
      <w:r>
        <w:rPr>
          <w:rFonts w:hint="cs"/>
          <w:sz w:val="26"/>
          <w:szCs w:val="26"/>
          <w:rtl/>
        </w:rPr>
        <w:t>היא שגתה מכיוון</w:t>
      </w:r>
      <w:r w:rsidRPr="001334A9">
        <w:rPr>
          <w:rFonts w:hint="cs"/>
          <w:sz w:val="26"/>
          <w:szCs w:val="26"/>
          <w:rtl/>
        </w:rPr>
        <w:t xml:space="preserve"> שזה לא התרחש</w:t>
      </w:r>
      <w:r>
        <w:rPr>
          <w:rFonts w:hint="cs"/>
          <w:sz w:val="26"/>
          <w:szCs w:val="26"/>
          <w:rtl/>
        </w:rPr>
        <w:t xml:space="preserve"> </w:t>
      </w:r>
      <w:r>
        <w:rPr>
          <w:sz w:val="26"/>
          <w:szCs w:val="26"/>
          <w:rtl/>
        </w:rPr>
        <w:t>–</w:t>
      </w:r>
      <w:r>
        <w:rPr>
          <w:rFonts w:hint="cs"/>
          <w:sz w:val="26"/>
          <w:szCs w:val="26"/>
          <w:rtl/>
        </w:rPr>
        <w:t xml:space="preserve"> בוועדה התבקש התובע להתכופף וההגבלה בכיפוף הייתה ניכרת למומחה אשר ביקש שינסה עוד ולאחר ניסיון נוסף חדל.</w:t>
      </w:r>
    </w:p>
    <w:p w14:paraId="2379EA25" w14:textId="4E3F59F1" w:rsidR="001334A9" w:rsidRDefault="001334A9" w:rsidP="00E024D4">
      <w:pPr>
        <w:numPr>
          <w:ilvl w:val="0"/>
          <w:numId w:val="4"/>
        </w:numPr>
        <w:tabs>
          <w:tab w:val="num" w:pos="386"/>
        </w:tabs>
        <w:spacing w:before="120" w:after="240"/>
        <w:ind w:left="334" w:hanging="357"/>
        <w:rPr>
          <w:sz w:val="26"/>
          <w:szCs w:val="26"/>
        </w:rPr>
      </w:pPr>
      <w:r>
        <w:rPr>
          <w:rFonts w:hint="cs"/>
          <w:b/>
          <w:bCs/>
          <w:sz w:val="26"/>
          <w:szCs w:val="26"/>
          <w:rtl/>
        </w:rPr>
        <w:t>אין הלימה בין קביעות הוועדה לבין כל יתר התיעוד שניתן בעניינו. אם לא די בכך כדי להציג את הטעות שנפלה בהחלטתה, מספקת לנו הוועדה נימוק</w:t>
      </w:r>
      <w:r w:rsidR="00E024D4">
        <w:rPr>
          <w:rFonts w:hint="cs"/>
          <w:b/>
          <w:bCs/>
          <w:sz w:val="26"/>
          <w:szCs w:val="26"/>
          <w:rtl/>
        </w:rPr>
        <w:t>,</w:t>
      </w:r>
      <w:r>
        <w:rPr>
          <w:rFonts w:hint="cs"/>
          <w:b/>
          <w:bCs/>
          <w:sz w:val="26"/>
          <w:szCs w:val="26"/>
          <w:rtl/>
        </w:rPr>
        <w:t xml:space="preserve"> לטענתה</w:t>
      </w:r>
      <w:r w:rsidR="00E024D4">
        <w:rPr>
          <w:rFonts w:hint="cs"/>
          <w:b/>
          <w:bCs/>
          <w:sz w:val="26"/>
          <w:szCs w:val="26"/>
          <w:rtl/>
        </w:rPr>
        <w:t>,</w:t>
      </w:r>
      <w:r>
        <w:rPr>
          <w:rFonts w:hint="cs"/>
          <w:b/>
          <w:bCs/>
          <w:sz w:val="26"/>
          <w:szCs w:val="26"/>
          <w:rtl/>
        </w:rPr>
        <w:t xml:space="preserve"> יש בו כדי לאיין את נכותו </w:t>
      </w:r>
      <w:r>
        <w:rPr>
          <w:b/>
          <w:bCs/>
          <w:sz w:val="26"/>
          <w:szCs w:val="26"/>
          <w:rtl/>
        </w:rPr>
        <w:t>–</w:t>
      </w:r>
      <w:r>
        <w:rPr>
          <w:rFonts w:hint="cs"/>
          <w:b/>
          <w:bCs/>
          <w:sz w:val="26"/>
          <w:szCs w:val="26"/>
          <w:rtl/>
        </w:rPr>
        <w:t xml:space="preserve"> "גם עצם העובדה שנוהג בלי שנבדק </w:t>
      </w:r>
      <w:proofErr w:type="spellStart"/>
      <w:r>
        <w:rPr>
          <w:rFonts w:hint="cs"/>
          <w:b/>
          <w:bCs/>
          <w:sz w:val="26"/>
          <w:szCs w:val="26"/>
          <w:rtl/>
        </w:rPr>
        <w:t>במרב"ד</w:t>
      </w:r>
      <w:proofErr w:type="spellEnd"/>
      <w:r>
        <w:rPr>
          <w:rFonts w:hint="cs"/>
          <w:b/>
          <w:bCs/>
          <w:sz w:val="26"/>
          <w:szCs w:val="26"/>
          <w:rtl/>
        </w:rPr>
        <w:t xml:space="preserve"> ובלי שהרכב עבר התאמות" </w:t>
      </w:r>
      <w:r>
        <w:rPr>
          <w:b/>
          <w:bCs/>
          <w:sz w:val="26"/>
          <w:szCs w:val="26"/>
          <w:rtl/>
        </w:rPr>
        <w:t>–</w:t>
      </w:r>
      <w:r>
        <w:rPr>
          <w:rFonts w:hint="cs"/>
          <w:b/>
          <w:bCs/>
          <w:sz w:val="26"/>
          <w:szCs w:val="26"/>
          <w:rtl/>
        </w:rPr>
        <w:t xml:space="preserve"> </w:t>
      </w:r>
      <w:r>
        <w:rPr>
          <w:rFonts w:hint="cs"/>
          <w:b/>
          <w:bCs/>
          <w:sz w:val="30"/>
          <w:szCs w:val="30"/>
          <w:rtl/>
        </w:rPr>
        <w:t>עצם ההנמקה הנ"ל</w:t>
      </w:r>
      <w:r w:rsidR="00E024D4">
        <w:rPr>
          <w:rFonts w:hint="cs"/>
          <w:b/>
          <w:bCs/>
          <w:sz w:val="30"/>
          <w:szCs w:val="30"/>
          <w:rtl/>
        </w:rPr>
        <w:t xml:space="preserve"> בנסיבות המקרה הספציפי</w:t>
      </w:r>
      <w:r>
        <w:rPr>
          <w:rFonts w:hint="cs"/>
          <w:b/>
          <w:bCs/>
          <w:sz w:val="30"/>
          <w:szCs w:val="30"/>
          <w:rtl/>
        </w:rPr>
        <w:t xml:space="preserve"> צריכה להביא לכדי מסקנה כי החלטת הוועדה בטעות יסודה </w:t>
      </w:r>
      <w:r w:rsidR="004A2DA6">
        <w:rPr>
          <w:b/>
          <w:bCs/>
          <w:sz w:val="30"/>
          <w:szCs w:val="30"/>
          <w:rtl/>
        </w:rPr>
        <w:t>–</w:t>
      </w:r>
      <w:r>
        <w:rPr>
          <w:rFonts w:hint="cs"/>
          <w:b/>
          <w:bCs/>
          <w:sz w:val="30"/>
          <w:szCs w:val="30"/>
          <w:rtl/>
        </w:rPr>
        <w:t xml:space="preserve"> </w:t>
      </w:r>
      <w:r w:rsidR="004A2DA6">
        <w:rPr>
          <w:rFonts w:hint="cs"/>
          <w:b/>
          <w:bCs/>
          <w:sz w:val="30"/>
          <w:szCs w:val="30"/>
          <w:rtl/>
        </w:rPr>
        <w:t xml:space="preserve">הקשר בין הנכות לה הוא טוען לבין התאמות ובדיקה </w:t>
      </w:r>
      <w:proofErr w:type="spellStart"/>
      <w:r w:rsidR="004A2DA6">
        <w:rPr>
          <w:rFonts w:hint="cs"/>
          <w:b/>
          <w:bCs/>
          <w:sz w:val="30"/>
          <w:szCs w:val="30"/>
          <w:rtl/>
        </w:rPr>
        <w:t>במרב"ד</w:t>
      </w:r>
      <w:proofErr w:type="spellEnd"/>
      <w:r w:rsidR="004A2DA6">
        <w:rPr>
          <w:rFonts w:hint="cs"/>
          <w:b/>
          <w:bCs/>
          <w:sz w:val="30"/>
          <w:szCs w:val="30"/>
          <w:rtl/>
        </w:rPr>
        <w:t xml:space="preserve"> חזק </w:t>
      </w:r>
      <w:r w:rsidR="004A2DA6">
        <w:rPr>
          <w:rFonts w:hint="cs"/>
          <w:b/>
          <w:bCs/>
          <w:sz w:val="30"/>
          <w:szCs w:val="30"/>
          <w:rtl/>
        </w:rPr>
        <w:lastRenderedPageBreak/>
        <w:t xml:space="preserve">יותר מן הקשר בין שמיטה למעמד הר סיני </w:t>
      </w:r>
      <w:r w:rsidR="004A2DA6">
        <w:rPr>
          <w:b/>
          <w:bCs/>
          <w:sz w:val="30"/>
          <w:szCs w:val="30"/>
          <w:rtl/>
        </w:rPr>
        <w:t>–</w:t>
      </w:r>
      <w:r w:rsidR="004A2DA6" w:rsidRPr="004A2DA6">
        <w:rPr>
          <w:rFonts w:hint="cs"/>
          <w:b/>
          <w:bCs/>
          <w:sz w:val="28"/>
          <w:szCs w:val="28"/>
          <w:u w:val="single"/>
          <w:rtl/>
        </w:rPr>
        <w:t xml:space="preserve"> לקשר האחרון ניתן</w:t>
      </w:r>
      <w:r w:rsidR="004A2DA6">
        <w:rPr>
          <w:rFonts w:hint="cs"/>
          <w:b/>
          <w:bCs/>
          <w:sz w:val="28"/>
          <w:szCs w:val="28"/>
          <w:u w:val="single"/>
          <w:rtl/>
        </w:rPr>
        <w:t xml:space="preserve"> למצוא</w:t>
      </w:r>
      <w:r w:rsidR="004A2DA6" w:rsidRPr="004A2DA6">
        <w:rPr>
          <w:rFonts w:hint="cs"/>
          <w:b/>
          <w:bCs/>
          <w:sz w:val="28"/>
          <w:szCs w:val="28"/>
          <w:u w:val="single"/>
          <w:rtl/>
        </w:rPr>
        <w:t xml:space="preserve"> הסבר בעוד שלראשון אין הסבר מניח את הדעת</w:t>
      </w:r>
      <w:r w:rsidR="004A2DA6">
        <w:rPr>
          <w:rFonts w:hint="cs"/>
          <w:sz w:val="26"/>
          <w:szCs w:val="26"/>
          <w:rtl/>
        </w:rPr>
        <w:t>.</w:t>
      </w:r>
    </w:p>
    <w:p w14:paraId="1B34FF78" w14:textId="65AEA2A0" w:rsidR="004A2DA6" w:rsidRDefault="004A2DA6" w:rsidP="004A2DA6">
      <w:pPr>
        <w:numPr>
          <w:ilvl w:val="0"/>
          <w:numId w:val="4"/>
        </w:numPr>
        <w:tabs>
          <w:tab w:val="num" w:pos="386"/>
        </w:tabs>
        <w:spacing w:after="240"/>
        <w:ind w:left="334" w:hanging="357"/>
        <w:rPr>
          <w:sz w:val="26"/>
          <w:szCs w:val="26"/>
        </w:rPr>
      </w:pPr>
      <w:r>
        <w:rPr>
          <w:rFonts w:hint="cs"/>
          <w:sz w:val="26"/>
          <w:szCs w:val="26"/>
          <w:rtl/>
        </w:rPr>
        <w:t xml:space="preserve">בנוסף ומבלי לפגוע באמור לעיל, </w:t>
      </w:r>
      <w:proofErr w:type="spellStart"/>
      <w:r>
        <w:rPr>
          <w:rFonts w:hint="cs"/>
          <w:sz w:val="26"/>
          <w:szCs w:val="26"/>
          <w:rtl/>
        </w:rPr>
        <w:t>יצויין</w:t>
      </w:r>
      <w:proofErr w:type="spellEnd"/>
      <w:r>
        <w:rPr>
          <w:rFonts w:hint="cs"/>
          <w:sz w:val="26"/>
          <w:szCs w:val="26"/>
          <w:rtl/>
        </w:rPr>
        <w:t xml:space="preserve"> כי גם על פי שיטת הוועדה עצמה הטווחים שנמדדו מציגים הגבלה העולה כדי נכות. </w:t>
      </w:r>
      <w:r w:rsidR="00E024D4">
        <w:rPr>
          <w:rFonts w:hint="cs"/>
          <w:sz w:val="26"/>
          <w:szCs w:val="26"/>
          <w:rtl/>
        </w:rPr>
        <w:t>וגם מן הטעם הזה כשלעצמו יש כדי להביא לקבלת הערר וקביעת נכות בהתאם.</w:t>
      </w:r>
    </w:p>
    <w:p w14:paraId="616D812E" w14:textId="10988DD1" w:rsidR="004A2DA6" w:rsidRPr="001334A9" w:rsidRDefault="004A2DA6" w:rsidP="004A2DA6">
      <w:pPr>
        <w:numPr>
          <w:ilvl w:val="0"/>
          <w:numId w:val="4"/>
        </w:numPr>
        <w:tabs>
          <w:tab w:val="num" w:pos="386"/>
        </w:tabs>
        <w:spacing w:after="240"/>
        <w:ind w:left="334" w:hanging="357"/>
        <w:rPr>
          <w:sz w:val="26"/>
          <w:szCs w:val="26"/>
        </w:rPr>
      </w:pPr>
      <w:r>
        <w:rPr>
          <w:rFonts w:hint="cs"/>
          <w:sz w:val="26"/>
          <w:szCs w:val="26"/>
          <w:rtl/>
        </w:rPr>
        <w:t xml:space="preserve">בתחום הנוירולוגי </w:t>
      </w:r>
      <w:r>
        <w:rPr>
          <w:sz w:val="26"/>
          <w:szCs w:val="26"/>
          <w:rtl/>
        </w:rPr>
        <w:t>–</w:t>
      </w:r>
      <w:r>
        <w:rPr>
          <w:rFonts w:hint="cs"/>
          <w:sz w:val="26"/>
          <w:szCs w:val="26"/>
          <w:rtl/>
        </w:rPr>
        <w:t xml:space="preserve"> קביעת הוועדה מדרג א' עומדת בסתירה ברורה לחוזר הביטוח הלאומי עצמו הקובע את הקריטריונים לקביעת נכות בגין כאב ראש פוסט טראומטי </w:t>
      </w:r>
      <w:r>
        <w:rPr>
          <w:sz w:val="26"/>
          <w:szCs w:val="26"/>
          <w:rtl/>
        </w:rPr>
        <w:t>–</w:t>
      </w:r>
      <w:r>
        <w:rPr>
          <w:rFonts w:hint="cs"/>
          <w:sz w:val="26"/>
          <w:szCs w:val="26"/>
          <w:rtl/>
        </w:rPr>
        <w:t xml:space="preserve"> בהינתן שהתובע עומד בקריטריונים שנקבעו ע"י המל"ל עצמו כל עוד לא נקבע כי הנפגע אינו דובר אמת קביעה כי לא נותרה נכות בהתקיים הקריטריונים וללא הנמקה הולמת הינה נעדרת בסיס ובטלה מעיקרה!</w:t>
      </w:r>
    </w:p>
    <w:p w14:paraId="3F10987D" w14:textId="77777777" w:rsidR="004A2DA6" w:rsidRDefault="004A2DA6" w:rsidP="004A2DA6">
      <w:pPr>
        <w:pStyle w:val="aa"/>
        <w:rPr>
          <w:sz w:val="26"/>
          <w:szCs w:val="26"/>
          <w:rtl/>
        </w:rPr>
      </w:pPr>
    </w:p>
    <w:p w14:paraId="58C60091" w14:textId="174CDA7C" w:rsidR="004A2DA6" w:rsidRDefault="004A2DA6" w:rsidP="00D67992">
      <w:pPr>
        <w:numPr>
          <w:ilvl w:val="0"/>
          <w:numId w:val="4"/>
        </w:numPr>
        <w:tabs>
          <w:tab w:val="num" w:pos="386"/>
        </w:tabs>
        <w:spacing w:after="0"/>
        <w:ind w:left="340"/>
        <w:rPr>
          <w:sz w:val="26"/>
          <w:szCs w:val="26"/>
        </w:rPr>
      </w:pPr>
      <w:r>
        <w:rPr>
          <w:rFonts w:hint="cs"/>
          <w:sz w:val="26"/>
          <w:szCs w:val="26"/>
          <w:rtl/>
        </w:rPr>
        <w:t>ערר זה מוגש במתכונתו הנוכחית והעורר שומר על זכותו לצרף נימוקים ו/או מסמכים נוספים בסמוך למועד הוועדה.</w:t>
      </w:r>
    </w:p>
    <w:p w14:paraId="04A18761" w14:textId="77777777" w:rsidR="00D12E24" w:rsidRDefault="00D12E24" w:rsidP="00D12E24">
      <w:pPr>
        <w:spacing w:after="0" w:line="480" w:lineRule="auto"/>
        <w:ind w:left="749" w:right="1440"/>
        <w:rPr>
          <w:sz w:val="26"/>
          <w:szCs w:val="26"/>
          <w:rtl/>
        </w:rPr>
      </w:pPr>
    </w:p>
    <w:p w14:paraId="1AFFA6E0" w14:textId="77777777" w:rsidR="00A47080" w:rsidRDefault="00A47080" w:rsidP="00D12E24">
      <w:pPr>
        <w:spacing w:after="0" w:line="480" w:lineRule="auto"/>
        <w:ind w:left="749" w:right="1440"/>
        <w:rPr>
          <w:sz w:val="26"/>
          <w:szCs w:val="26"/>
          <w:rtl/>
        </w:rPr>
      </w:pPr>
    </w:p>
    <w:p w14:paraId="22D763D2" w14:textId="77777777" w:rsidR="00A47080" w:rsidRDefault="00A47080" w:rsidP="00D12E24">
      <w:pPr>
        <w:spacing w:after="0" w:line="480" w:lineRule="auto"/>
        <w:ind w:left="749" w:right="1440"/>
        <w:rPr>
          <w:sz w:val="26"/>
          <w:szCs w:val="26"/>
          <w:rtl/>
        </w:rPr>
      </w:pPr>
    </w:p>
    <w:p w14:paraId="34E3DC3F" w14:textId="77777777" w:rsidR="00A47080" w:rsidRDefault="00A47080" w:rsidP="00D12E24">
      <w:pPr>
        <w:spacing w:after="0" w:line="480" w:lineRule="auto"/>
        <w:ind w:left="749" w:right="1440"/>
        <w:rPr>
          <w:sz w:val="26"/>
          <w:szCs w:val="26"/>
          <w:rtl/>
        </w:rPr>
      </w:pPr>
    </w:p>
    <w:p w14:paraId="22CB4F30" w14:textId="77777777" w:rsidR="00A47080" w:rsidRDefault="00A47080" w:rsidP="00D12E24">
      <w:pPr>
        <w:spacing w:after="0" w:line="480" w:lineRule="auto"/>
        <w:ind w:left="749" w:right="1440"/>
        <w:rPr>
          <w:sz w:val="26"/>
          <w:szCs w:val="26"/>
        </w:rPr>
      </w:pPr>
    </w:p>
    <w:p w14:paraId="4F13146A" w14:textId="77777777" w:rsidR="00C4165C" w:rsidRDefault="00C4165C" w:rsidP="00311291">
      <w:pPr>
        <w:spacing w:line="240" w:lineRule="auto"/>
        <w:ind w:left="825" w:firstLine="615"/>
        <w:rPr>
          <w:sz w:val="26"/>
          <w:szCs w:val="26"/>
          <w:rtl/>
        </w:rPr>
      </w:pPr>
    </w:p>
    <w:p w14:paraId="65E318DA" w14:textId="59EF5EC2"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78F2B" w14:textId="77777777" w:rsidR="00F341DB" w:rsidRDefault="00F341DB" w:rsidP="00841B46">
      <w:pPr>
        <w:spacing w:after="0" w:line="240" w:lineRule="auto"/>
      </w:pPr>
      <w:r>
        <w:separator/>
      </w:r>
    </w:p>
  </w:endnote>
  <w:endnote w:type="continuationSeparator" w:id="0">
    <w:p w14:paraId="335464CD" w14:textId="77777777" w:rsidR="00F341DB" w:rsidRDefault="00F341DB"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47DB3" w14:textId="77777777" w:rsidR="00F341DB" w:rsidRDefault="00F341DB" w:rsidP="00841B46">
      <w:pPr>
        <w:spacing w:after="0" w:line="240" w:lineRule="auto"/>
      </w:pPr>
      <w:r>
        <w:separator/>
      </w:r>
    </w:p>
  </w:footnote>
  <w:footnote w:type="continuationSeparator" w:id="0">
    <w:p w14:paraId="0F4E91F7" w14:textId="77777777" w:rsidR="00F341DB" w:rsidRDefault="00F341DB"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363AC2DC"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D030BA">
            <w:rPr>
              <w:noProof/>
              <w:rtl/>
            </w:rPr>
            <w:t>‏30 יוני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1815944692">
    <w:abstractNumId w:val="1"/>
  </w:num>
  <w:num w:numId="2" w16cid:durableId="1726566308">
    <w:abstractNumId w:val="3"/>
  </w:num>
  <w:num w:numId="3" w16cid:durableId="1435327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5505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472F2"/>
    <w:rsid w:val="000772BF"/>
    <w:rsid w:val="000839D4"/>
    <w:rsid w:val="00086A6A"/>
    <w:rsid w:val="00095CA5"/>
    <w:rsid w:val="000B7329"/>
    <w:rsid w:val="000C4E13"/>
    <w:rsid w:val="000D361D"/>
    <w:rsid w:val="000D51E7"/>
    <w:rsid w:val="00126724"/>
    <w:rsid w:val="001334A9"/>
    <w:rsid w:val="001653BC"/>
    <w:rsid w:val="001706D2"/>
    <w:rsid w:val="00192576"/>
    <w:rsid w:val="001952F4"/>
    <w:rsid w:val="001B014C"/>
    <w:rsid w:val="001D4FAB"/>
    <w:rsid w:val="00203BE6"/>
    <w:rsid w:val="00244839"/>
    <w:rsid w:val="00283D6A"/>
    <w:rsid w:val="00295806"/>
    <w:rsid w:val="002D6487"/>
    <w:rsid w:val="002E30BD"/>
    <w:rsid w:val="002F7EF0"/>
    <w:rsid w:val="0030132D"/>
    <w:rsid w:val="003045C1"/>
    <w:rsid w:val="00311291"/>
    <w:rsid w:val="00322233"/>
    <w:rsid w:val="003450BA"/>
    <w:rsid w:val="00345ED7"/>
    <w:rsid w:val="003506F7"/>
    <w:rsid w:val="00373D5E"/>
    <w:rsid w:val="003810E6"/>
    <w:rsid w:val="003C4C0B"/>
    <w:rsid w:val="003D31BB"/>
    <w:rsid w:val="003F57B8"/>
    <w:rsid w:val="00421AF8"/>
    <w:rsid w:val="00433384"/>
    <w:rsid w:val="00444DE2"/>
    <w:rsid w:val="004A16DF"/>
    <w:rsid w:val="004A2DA6"/>
    <w:rsid w:val="004C519A"/>
    <w:rsid w:val="004E33C6"/>
    <w:rsid w:val="004F0284"/>
    <w:rsid w:val="00563888"/>
    <w:rsid w:val="00582ACE"/>
    <w:rsid w:val="005A3E11"/>
    <w:rsid w:val="005A6F7F"/>
    <w:rsid w:val="005D14AB"/>
    <w:rsid w:val="005F70AF"/>
    <w:rsid w:val="006001DE"/>
    <w:rsid w:val="00623F07"/>
    <w:rsid w:val="00637C4A"/>
    <w:rsid w:val="00642590"/>
    <w:rsid w:val="00671165"/>
    <w:rsid w:val="00674105"/>
    <w:rsid w:val="006A22B3"/>
    <w:rsid w:val="006E5688"/>
    <w:rsid w:val="006E7215"/>
    <w:rsid w:val="00702F6A"/>
    <w:rsid w:val="0070407B"/>
    <w:rsid w:val="00716751"/>
    <w:rsid w:val="00733A02"/>
    <w:rsid w:val="007645E2"/>
    <w:rsid w:val="007661FD"/>
    <w:rsid w:val="0077030A"/>
    <w:rsid w:val="00771850"/>
    <w:rsid w:val="007862A8"/>
    <w:rsid w:val="00791F06"/>
    <w:rsid w:val="007B1145"/>
    <w:rsid w:val="007E11BB"/>
    <w:rsid w:val="007E5225"/>
    <w:rsid w:val="00825E87"/>
    <w:rsid w:val="008352BB"/>
    <w:rsid w:val="00841B46"/>
    <w:rsid w:val="0088502A"/>
    <w:rsid w:val="008B0DB6"/>
    <w:rsid w:val="008D2061"/>
    <w:rsid w:val="009171FD"/>
    <w:rsid w:val="009178C2"/>
    <w:rsid w:val="00920C75"/>
    <w:rsid w:val="0092119D"/>
    <w:rsid w:val="009C2E7A"/>
    <w:rsid w:val="009C4004"/>
    <w:rsid w:val="009C4444"/>
    <w:rsid w:val="009D554B"/>
    <w:rsid w:val="009D62E2"/>
    <w:rsid w:val="009F1B3F"/>
    <w:rsid w:val="009F23E7"/>
    <w:rsid w:val="009F28C8"/>
    <w:rsid w:val="00A03ECC"/>
    <w:rsid w:val="00A1595E"/>
    <w:rsid w:val="00A41F55"/>
    <w:rsid w:val="00A451B6"/>
    <w:rsid w:val="00A4528C"/>
    <w:rsid w:val="00A47080"/>
    <w:rsid w:val="00A6060A"/>
    <w:rsid w:val="00A712C3"/>
    <w:rsid w:val="00A90E7C"/>
    <w:rsid w:val="00AA05AE"/>
    <w:rsid w:val="00AA1FB1"/>
    <w:rsid w:val="00AB238B"/>
    <w:rsid w:val="00AD632B"/>
    <w:rsid w:val="00AE6EA3"/>
    <w:rsid w:val="00B052A6"/>
    <w:rsid w:val="00B5070C"/>
    <w:rsid w:val="00B63AD5"/>
    <w:rsid w:val="00B92567"/>
    <w:rsid w:val="00BA4C49"/>
    <w:rsid w:val="00BF3FC2"/>
    <w:rsid w:val="00BF7625"/>
    <w:rsid w:val="00C10451"/>
    <w:rsid w:val="00C11541"/>
    <w:rsid w:val="00C15D89"/>
    <w:rsid w:val="00C4165C"/>
    <w:rsid w:val="00C70B94"/>
    <w:rsid w:val="00C80AAC"/>
    <w:rsid w:val="00CC1B2D"/>
    <w:rsid w:val="00CC38FA"/>
    <w:rsid w:val="00CC7A96"/>
    <w:rsid w:val="00CD0B68"/>
    <w:rsid w:val="00D030BA"/>
    <w:rsid w:val="00D12E24"/>
    <w:rsid w:val="00D15729"/>
    <w:rsid w:val="00D17A8D"/>
    <w:rsid w:val="00D3318F"/>
    <w:rsid w:val="00D37153"/>
    <w:rsid w:val="00D43E52"/>
    <w:rsid w:val="00D51553"/>
    <w:rsid w:val="00D67992"/>
    <w:rsid w:val="00D72876"/>
    <w:rsid w:val="00D833E3"/>
    <w:rsid w:val="00DA5239"/>
    <w:rsid w:val="00DA5CC8"/>
    <w:rsid w:val="00DB7B66"/>
    <w:rsid w:val="00DE326B"/>
    <w:rsid w:val="00E00F89"/>
    <w:rsid w:val="00E024D4"/>
    <w:rsid w:val="00E11AA7"/>
    <w:rsid w:val="00E41909"/>
    <w:rsid w:val="00E43457"/>
    <w:rsid w:val="00E53AE3"/>
    <w:rsid w:val="00E54B14"/>
    <w:rsid w:val="00E5626D"/>
    <w:rsid w:val="00E62E1B"/>
    <w:rsid w:val="00E63F05"/>
    <w:rsid w:val="00E72787"/>
    <w:rsid w:val="00EA0C81"/>
    <w:rsid w:val="00EA4AFE"/>
    <w:rsid w:val="00ED4CB2"/>
    <w:rsid w:val="00EF5DAB"/>
    <w:rsid w:val="00F0259E"/>
    <w:rsid w:val="00F03C42"/>
    <w:rsid w:val="00F306CC"/>
    <w:rsid w:val="00F30D79"/>
    <w:rsid w:val="00F31DB8"/>
    <w:rsid w:val="00F341DB"/>
    <w:rsid w:val="00F60176"/>
    <w:rsid w:val="00F620B0"/>
    <w:rsid w:val="00F70EA7"/>
    <w:rsid w:val="00F8002B"/>
    <w:rsid w:val="00F844D2"/>
    <w:rsid w:val="00FB088B"/>
    <w:rsid w:val="00FB3781"/>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450</Words>
  <Characters>2250</Characters>
  <Application>Microsoft Office Word</Application>
  <DocSecurity>0</DocSecurity>
  <Lines>112</Lines>
  <Paragraphs>67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2026-06-30T14:42:00Z</dcterms:created>
  <dcterms:modified xsi:type="dcterms:W3CDTF">2026-06-30T15:27:00Z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1029405</vt:lpwstr>
  </property>
</Properties>
</file>