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370F" w14:textId="48AC408E" w:rsidR="00E2000C" w:rsidRPr="005D7EC5" w:rsidRDefault="00E2000C" w:rsidP="005D7EC5">
      <w:pPr>
        <w:spacing w:line="360" w:lineRule="auto"/>
        <w:jc w:val="both"/>
        <w:rPr>
          <w:rFonts w:ascii="Goudy Old Style" w:hAnsi="Goudy Old Style" w:cs="David"/>
          <w:b/>
          <w:bCs/>
          <w:sz w:val="26"/>
          <w:szCs w:val="26"/>
          <w:u w:val="single"/>
          <w:rtl/>
        </w:rPr>
      </w:pPr>
      <w:r w:rsidRPr="00C163E1">
        <w:rPr>
          <w:rFonts w:ascii="Goudy Old Style" w:hAnsi="Goudy Old Style" w:cs="David" w:hint="cs"/>
          <w:b/>
          <w:bCs/>
          <w:sz w:val="26"/>
          <w:szCs w:val="26"/>
          <w:rtl/>
        </w:rPr>
        <w:t xml:space="preserve">בבית    המשפט   העליון   בירושלים      </w:t>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t xml:space="preserve"> </w:t>
      </w:r>
      <w:r w:rsidRPr="001C0227">
        <w:rPr>
          <w:rFonts w:ascii="Goudy Old Style" w:hAnsi="Goudy Old Style" w:cs="David" w:hint="cs"/>
          <w:b/>
          <w:bCs/>
          <w:sz w:val="26"/>
          <w:szCs w:val="26"/>
          <w:u w:val="single"/>
          <w:rtl/>
        </w:rPr>
        <w:t xml:space="preserve">ע.א. </w:t>
      </w:r>
      <w:r w:rsidRPr="001C0227">
        <w:rPr>
          <w:rFonts w:ascii="David" w:hAnsi="David" w:cs="David" w:hint="cs"/>
          <w:b/>
          <w:bCs/>
          <w:u w:val="single"/>
          <w:rtl/>
        </w:rPr>
        <w:t>/</w:t>
      </w:r>
      <w:r>
        <w:rPr>
          <w:rFonts w:ascii="David" w:hAnsi="David" w:cs="David" w:hint="cs"/>
          <w:b/>
          <w:bCs/>
          <w:u w:val="single"/>
          <w:rtl/>
        </w:rPr>
        <w:t>25</w:t>
      </w:r>
      <w:r w:rsidR="005D7EC5">
        <w:rPr>
          <w:rFonts w:ascii="Goudy Old Style" w:hAnsi="Goudy Old Style" w:cs="David" w:hint="cs"/>
          <w:b/>
          <w:bCs/>
          <w:sz w:val="26"/>
          <w:szCs w:val="26"/>
          <w:u w:val="single"/>
          <w:rtl/>
        </w:rPr>
        <w:t xml:space="preserve"> </w:t>
      </w:r>
      <w:r w:rsidRPr="00C163E1">
        <w:rPr>
          <w:rFonts w:ascii="Goudy Old Style" w:hAnsi="Goudy Old Style" w:cs="David" w:hint="cs"/>
          <w:b/>
          <w:bCs/>
          <w:sz w:val="26"/>
          <w:szCs w:val="26"/>
          <w:u w:val="single"/>
          <w:rtl/>
        </w:rPr>
        <w:t>בשבתו כבית דין לערעורים אזרחיים</w:t>
      </w:r>
      <w:r w:rsidRPr="00C163E1">
        <w:rPr>
          <w:rFonts w:ascii="Goudy Old Style" w:hAnsi="Goudy Old Style" w:cs="David" w:hint="cs"/>
          <w:b/>
          <w:bCs/>
          <w:sz w:val="26"/>
          <w:szCs w:val="26"/>
          <w:rtl/>
        </w:rPr>
        <w:tab/>
      </w:r>
      <w:r w:rsidRPr="00C163E1">
        <w:rPr>
          <w:rFonts w:ascii="Goudy Old Style" w:hAnsi="Goudy Old Style" w:cs="David"/>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p>
    <w:p w14:paraId="50EF5BDF" w14:textId="77777777" w:rsidR="00E2000C" w:rsidRDefault="00E2000C" w:rsidP="00E2000C">
      <w:pPr>
        <w:spacing w:line="240" w:lineRule="auto"/>
        <w:jc w:val="both"/>
        <w:rPr>
          <w:rFonts w:ascii="Goudy Old Style" w:hAnsi="Goudy Old Style" w:cs="David"/>
          <w:sz w:val="26"/>
          <w:szCs w:val="26"/>
          <w:rtl/>
        </w:rPr>
      </w:pPr>
    </w:p>
    <w:p w14:paraId="36845042" w14:textId="77777777" w:rsidR="00C23BEF" w:rsidRPr="009876C2" w:rsidRDefault="00C23BEF" w:rsidP="00C23BEF">
      <w:pPr>
        <w:spacing w:line="360" w:lineRule="auto"/>
        <w:jc w:val="both"/>
        <w:rPr>
          <w:rFonts w:ascii="Goudy Old Style" w:hAnsi="Goudy Old Style" w:cs="David"/>
          <w:b/>
          <w:bCs/>
          <w:sz w:val="26"/>
          <w:szCs w:val="26"/>
          <w:rtl/>
        </w:rPr>
      </w:pPr>
      <w:bookmarkStart w:id="0" w:name="_Hlk210922734"/>
      <w:r w:rsidRPr="009876C2">
        <w:rPr>
          <w:rFonts w:ascii="Goudy Old Style" w:hAnsi="Goudy Old Style" w:cs="David" w:hint="cs"/>
          <w:b/>
          <w:bCs/>
          <w:sz w:val="26"/>
          <w:szCs w:val="26"/>
          <w:u w:val="single"/>
          <w:rtl/>
        </w:rPr>
        <w:t>המבקשים</w:t>
      </w:r>
      <w:r w:rsidRPr="009876C2">
        <w:rPr>
          <w:rFonts w:ascii="Goudy Old Style" w:hAnsi="Goudy Old Style" w:cs="David" w:hint="cs"/>
          <w:sz w:val="26"/>
          <w:szCs w:val="26"/>
          <w:rtl/>
        </w:rPr>
        <w:t xml:space="preserve">:  </w:t>
      </w:r>
      <w:r>
        <w:rPr>
          <w:rFonts w:ascii="Goudy Old Style" w:hAnsi="Goudy Old Style" w:cs="David"/>
          <w:sz w:val="26"/>
          <w:szCs w:val="26"/>
          <w:rtl/>
        </w:rPr>
        <w:tab/>
      </w:r>
      <w:r>
        <w:rPr>
          <w:rFonts w:ascii="Goudy Old Style" w:hAnsi="Goudy Old Style" w:cs="David" w:hint="cs"/>
          <w:sz w:val="26"/>
          <w:szCs w:val="26"/>
          <w:rtl/>
        </w:rPr>
        <w:t xml:space="preserve">   </w:t>
      </w:r>
      <w:r w:rsidRPr="009876C2">
        <w:rPr>
          <w:rFonts w:ascii="Goudy Old Style" w:hAnsi="Goudy Old Style" w:cs="David" w:hint="cs"/>
          <w:sz w:val="26"/>
          <w:szCs w:val="26"/>
          <w:rtl/>
        </w:rPr>
        <w:t xml:space="preserve">  </w:t>
      </w:r>
      <w:r w:rsidRPr="009876C2">
        <w:rPr>
          <w:rFonts w:ascii="Goudy Old Style" w:hAnsi="Goudy Old Style" w:cs="David" w:hint="cs"/>
          <w:b/>
          <w:bCs/>
          <w:sz w:val="26"/>
          <w:szCs w:val="26"/>
          <w:rtl/>
        </w:rPr>
        <w:t>1.</w:t>
      </w:r>
      <w:r>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כרמיה (קסטנבוים) טקסטיל בע"מ</w:t>
      </w:r>
      <w:r w:rsidRPr="009876C2">
        <w:rPr>
          <w:rFonts w:ascii="Goudy Old Style" w:hAnsi="Goudy Old Style" w:cs="David" w:hint="cs"/>
          <w:sz w:val="26"/>
          <w:szCs w:val="26"/>
          <w:rtl/>
        </w:rPr>
        <w:t>(הנתבעת 1 בביהמ"ש קמא)</w:t>
      </w:r>
    </w:p>
    <w:p w14:paraId="0D07B5EB" w14:textId="1805DEB3" w:rsidR="00C23BEF" w:rsidRPr="009876C2" w:rsidRDefault="00C23BEF" w:rsidP="00C23BEF">
      <w:pPr>
        <w:spacing w:line="360" w:lineRule="auto"/>
        <w:jc w:val="both"/>
        <w:rPr>
          <w:rFonts w:ascii="Goudy Old Style" w:hAnsi="Goudy Old Style" w:cs="David"/>
          <w:sz w:val="26"/>
          <w:szCs w:val="26"/>
          <w:rtl/>
        </w:rPr>
      </w:pPr>
      <w:r w:rsidRPr="009876C2">
        <w:rPr>
          <w:rFonts w:ascii="Goudy Old Style" w:hAnsi="Goudy Old Style" w:cs="David" w:hint="cs"/>
          <w:sz w:val="26"/>
          <w:szCs w:val="26"/>
          <w:rtl/>
        </w:rPr>
        <w:t>המערערים</w:t>
      </w:r>
      <w:r>
        <w:rPr>
          <w:rFonts w:ascii="Goudy Old Style" w:hAnsi="Goudy Old Style" w:cs="David"/>
          <w:sz w:val="26"/>
          <w:szCs w:val="26"/>
          <w:rtl/>
        </w:rPr>
        <w:tab/>
      </w:r>
      <w:r>
        <w:rPr>
          <w:rFonts w:ascii="Goudy Old Style" w:hAnsi="Goudy Old Style" w:cs="David" w:hint="cs"/>
          <w:sz w:val="26"/>
          <w:szCs w:val="26"/>
          <w:rtl/>
        </w:rPr>
        <w:t xml:space="preserve">     </w:t>
      </w:r>
      <w:r w:rsidRPr="009876C2">
        <w:rPr>
          <w:rFonts w:ascii="Goudy Old Style" w:hAnsi="Goudy Old Style" w:cs="David" w:hint="cs"/>
          <w:b/>
          <w:bCs/>
          <w:sz w:val="26"/>
          <w:szCs w:val="26"/>
          <w:rtl/>
        </w:rPr>
        <w:t>2.</w:t>
      </w:r>
      <w:r>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 xml:space="preserve">בנימין קסטנבוים, ת.ז. </w:t>
      </w:r>
      <w:bookmarkStart w:id="1" w:name="_Hlk210922724"/>
      <w:r>
        <w:rPr>
          <w:rFonts w:ascii="Goudy Old Style" w:hAnsi="Goudy Old Style" w:cs="David" w:hint="cs"/>
          <w:b/>
          <w:bCs/>
          <w:sz w:val="26"/>
          <w:szCs w:val="26"/>
          <w:rtl/>
        </w:rPr>
        <w:t>020046196</w:t>
      </w:r>
      <w:r>
        <w:rPr>
          <w:rFonts w:ascii="Goudy Old Style" w:hAnsi="Goudy Old Style" w:cs="David" w:hint="cs"/>
          <w:sz w:val="26"/>
          <w:szCs w:val="26"/>
          <w:rtl/>
        </w:rPr>
        <w:t xml:space="preserve"> </w:t>
      </w:r>
      <w:r w:rsidRPr="009876C2">
        <w:rPr>
          <w:rFonts w:ascii="Goudy Old Style" w:hAnsi="Goudy Old Style" w:cs="David" w:hint="cs"/>
          <w:sz w:val="26"/>
          <w:szCs w:val="26"/>
          <w:rtl/>
        </w:rPr>
        <w:t xml:space="preserve"> </w:t>
      </w:r>
      <w:bookmarkEnd w:id="1"/>
      <w:r w:rsidRPr="009876C2">
        <w:rPr>
          <w:rFonts w:ascii="Goudy Old Style" w:hAnsi="Goudy Old Style" w:cs="David" w:hint="cs"/>
          <w:sz w:val="26"/>
          <w:szCs w:val="26"/>
          <w:rtl/>
        </w:rPr>
        <w:t>(הנתבע 3 בביהמ"ש קמא)</w:t>
      </w:r>
    </w:p>
    <w:p w14:paraId="7BDAA5D9" w14:textId="77777777" w:rsidR="00C23BEF" w:rsidRPr="009876C2" w:rsidRDefault="00C23BEF" w:rsidP="00C23BEF">
      <w:pPr>
        <w:spacing w:line="360" w:lineRule="auto"/>
        <w:ind w:left="565" w:hanging="2"/>
        <w:jc w:val="both"/>
        <w:rPr>
          <w:rFonts w:ascii="Goudy Old Style" w:hAnsi="Goudy Old Style" w:cs="David"/>
          <w:b/>
          <w:bCs/>
          <w:sz w:val="26"/>
          <w:szCs w:val="26"/>
          <w:rtl/>
        </w:rPr>
      </w:pPr>
      <w:r>
        <w:rPr>
          <w:rFonts w:ascii="Goudy Old Style" w:hAnsi="Goudy Old Style" w:cs="David" w:hint="cs"/>
          <w:sz w:val="26"/>
          <w:szCs w:val="26"/>
          <w:rtl/>
        </w:rPr>
        <w:t xml:space="preserve">  </w:t>
      </w:r>
      <w:r w:rsidRPr="009876C2">
        <w:rPr>
          <w:rFonts w:ascii="Goudy Old Style" w:hAnsi="Goudy Old Style" w:cs="David"/>
          <w:sz w:val="26"/>
          <w:szCs w:val="26"/>
          <w:rtl/>
        </w:rPr>
        <w:tab/>
      </w:r>
      <w:r>
        <w:rPr>
          <w:rFonts w:ascii="Goudy Old Style" w:hAnsi="Goudy Old Style" w:cs="David" w:hint="cs"/>
          <w:sz w:val="26"/>
          <w:szCs w:val="26"/>
          <w:rtl/>
        </w:rPr>
        <w:t xml:space="preserve">   </w:t>
      </w:r>
      <w:r w:rsidRPr="009876C2">
        <w:rPr>
          <w:rFonts w:ascii="Goudy Old Style" w:hAnsi="Goudy Old Style" w:cs="David"/>
          <w:sz w:val="26"/>
          <w:szCs w:val="26"/>
          <w:rtl/>
        </w:rPr>
        <w:tab/>
      </w:r>
      <w:r>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3.</w:t>
      </w:r>
      <w:r>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שרה קסטנבוים, ת"ז 050935758</w:t>
      </w:r>
      <w:r w:rsidRPr="009876C2">
        <w:rPr>
          <w:rFonts w:ascii="Goudy Old Style" w:hAnsi="Goudy Old Style" w:cs="David" w:hint="cs"/>
          <w:sz w:val="26"/>
          <w:szCs w:val="26"/>
          <w:rtl/>
        </w:rPr>
        <w:t xml:space="preserve"> (הנתבעת 5 בביהמ"ש קמא)</w:t>
      </w:r>
    </w:p>
    <w:p w14:paraId="0E197FDA" w14:textId="77777777" w:rsidR="00C23BEF" w:rsidRPr="00C458FE" w:rsidRDefault="00C23BEF" w:rsidP="00C23BEF">
      <w:pPr>
        <w:pStyle w:val="a3"/>
        <w:spacing w:line="360" w:lineRule="auto"/>
        <w:ind w:left="2160"/>
        <w:rPr>
          <w:rFonts w:ascii="David" w:hAnsi="David" w:cs="David"/>
          <w:sz w:val="24"/>
          <w:szCs w:val="24"/>
          <w:rtl/>
        </w:rPr>
      </w:pPr>
      <w:r w:rsidRPr="00C458FE">
        <w:rPr>
          <w:rFonts w:ascii="David" w:hAnsi="David" w:cs="David" w:hint="cs"/>
          <w:sz w:val="24"/>
          <w:szCs w:val="24"/>
          <w:rtl/>
        </w:rPr>
        <w:t>באמצעות ב"כ עו"ד אריאל פרייברג</w:t>
      </w:r>
      <w:r w:rsidRPr="00C458FE">
        <w:rPr>
          <w:rFonts w:ascii="David" w:hAnsi="David" w:cs="David"/>
          <w:sz w:val="24"/>
          <w:szCs w:val="24"/>
        </w:rPr>
        <w:t xml:space="preserve"> </w:t>
      </w:r>
      <w:r w:rsidRPr="00C458FE">
        <w:rPr>
          <w:rFonts w:ascii="David" w:hAnsi="David" w:cs="David" w:hint="cs"/>
          <w:sz w:val="24"/>
          <w:szCs w:val="24"/>
          <w:rtl/>
        </w:rPr>
        <w:t xml:space="preserve"> (מ"ר 62254)</w:t>
      </w:r>
    </w:p>
    <w:p w14:paraId="034A9827" w14:textId="77777777" w:rsidR="00C23BEF" w:rsidRPr="00C458FE" w:rsidRDefault="00C23BEF" w:rsidP="00C23BEF">
      <w:pPr>
        <w:pStyle w:val="a3"/>
        <w:spacing w:line="360" w:lineRule="auto"/>
        <w:rPr>
          <w:rFonts w:ascii="David" w:hAnsi="David" w:cs="David"/>
          <w:sz w:val="24"/>
          <w:szCs w:val="24"/>
          <w:rtl/>
        </w:rPr>
      </w:pPr>
      <w:r w:rsidRPr="00C458FE">
        <w:rPr>
          <w:rFonts w:ascii="David" w:hAnsi="David" w:cs="David"/>
          <w:sz w:val="24"/>
          <w:szCs w:val="24"/>
          <w:rtl/>
        </w:rPr>
        <w:tab/>
      </w:r>
      <w:r w:rsidRPr="00C458FE">
        <w:rPr>
          <w:rFonts w:ascii="David" w:hAnsi="David" w:cs="David"/>
          <w:sz w:val="24"/>
          <w:szCs w:val="24"/>
          <w:rtl/>
        </w:rPr>
        <w:tab/>
      </w:r>
      <w:r w:rsidRPr="00C458FE">
        <w:rPr>
          <w:rFonts w:ascii="David" w:hAnsi="David" w:cs="David" w:hint="cs"/>
          <w:sz w:val="24"/>
          <w:szCs w:val="24"/>
          <w:rtl/>
        </w:rPr>
        <w:t>מרח' אבא הלל 7 , רמת גן</w:t>
      </w:r>
    </w:p>
    <w:p w14:paraId="5E818141" w14:textId="77777777" w:rsidR="004C2C53" w:rsidRPr="00C458FE" w:rsidRDefault="00C23BEF" w:rsidP="004C2C53">
      <w:pPr>
        <w:pStyle w:val="a3"/>
        <w:spacing w:line="360" w:lineRule="auto"/>
        <w:rPr>
          <w:rFonts w:ascii="David" w:hAnsi="David" w:cs="David"/>
          <w:sz w:val="24"/>
          <w:szCs w:val="24"/>
          <w:u w:val="single"/>
          <w:rtl/>
        </w:rPr>
      </w:pPr>
      <w:r w:rsidRPr="00C458FE">
        <w:rPr>
          <w:rFonts w:ascii="David" w:hAnsi="David" w:cs="David"/>
          <w:sz w:val="24"/>
          <w:szCs w:val="24"/>
          <w:rtl/>
        </w:rPr>
        <w:tab/>
      </w:r>
      <w:r w:rsidRPr="00C458FE">
        <w:rPr>
          <w:rFonts w:ascii="David" w:hAnsi="David" w:cs="David"/>
          <w:sz w:val="24"/>
          <w:szCs w:val="24"/>
          <w:rtl/>
        </w:rPr>
        <w:tab/>
      </w:r>
      <w:r w:rsidRPr="00C458FE">
        <w:rPr>
          <w:rFonts w:ascii="David" w:hAnsi="David" w:cs="David" w:hint="cs"/>
          <w:sz w:val="24"/>
          <w:szCs w:val="24"/>
          <w:rtl/>
        </w:rPr>
        <w:t>טל' : 03-7412358  ,  פקס: 077-3180983</w:t>
      </w:r>
    </w:p>
    <w:p w14:paraId="42E8701F" w14:textId="4AC0B8E2" w:rsidR="00C23BEF" w:rsidRPr="00C458FE" w:rsidRDefault="00C23BEF" w:rsidP="004C2C53">
      <w:pPr>
        <w:pStyle w:val="a3"/>
        <w:spacing w:line="360" w:lineRule="auto"/>
        <w:ind w:left="1440" w:firstLine="720"/>
        <w:rPr>
          <w:rFonts w:ascii="David" w:hAnsi="David" w:cs="David"/>
          <w:sz w:val="24"/>
          <w:szCs w:val="24"/>
          <w:rtl/>
        </w:rPr>
      </w:pPr>
      <w:r w:rsidRPr="00C458FE">
        <w:rPr>
          <w:rFonts w:ascii="David" w:hAnsi="David" w:cs="David" w:hint="cs"/>
          <w:sz w:val="24"/>
          <w:szCs w:val="24"/>
          <w:rtl/>
        </w:rPr>
        <w:t xml:space="preserve">דוא"ל: </w:t>
      </w:r>
      <w:hyperlink r:id="rId6" w:history="1">
        <w:r w:rsidRPr="00C458FE">
          <w:rPr>
            <w:rStyle w:val="Hyperlink"/>
            <w:rFonts w:ascii="David" w:hAnsi="David"/>
            <w:color w:val="auto"/>
            <w:sz w:val="24"/>
            <w:szCs w:val="24"/>
            <w:u w:val="none"/>
          </w:rPr>
          <w:t>office@freiberg-law.com</w:t>
        </w:r>
      </w:hyperlink>
    </w:p>
    <w:bookmarkEnd w:id="0"/>
    <w:p w14:paraId="6A2237CA" w14:textId="77777777" w:rsidR="00C23BEF" w:rsidRDefault="00C23BEF" w:rsidP="00C23BEF">
      <w:pPr>
        <w:spacing w:after="0" w:line="240" w:lineRule="auto"/>
        <w:jc w:val="both"/>
        <w:rPr>
          <w:rFonts w:ascii="David" w:hAnsi="David" w:cs="David"/>
          <w:b/>
          <w:bCs/>
          <w:sz w:val="24"/>
          <w:szCs w:val="24"/>
          <w:rtl/>
        </w:rPr>
      </w:pPr>
      <w:r w:rsidRPr="00B85DBE">
        <w:rPr>
          <w:rFonts w:ascii="David" w:hAnsi="David" w:cs="David"/>
          <w:b/>
          <w:bCs/>
          <w:sz w:val="24"/>
          <w:szCs w:val="24"/>
          <w:rtl/>
        </w:rPr>
        <w:tab/>
        <w:t xml:space="preserve"> </w:t>
      </w:r>
      <w:r w:rsidRPr="00B85DBE">
        <w:rPr>
          <w:rFonts w:ascii="David" w:hAnsi="David" w:cs="David"/>
          <w:b/>
          <w:bCs/>
          <w:sz w:val="24"/>
          <w:szCs w:val="24"/>
          <w:rtl/>
        </w:rPr>
        <w:tab/>
        <w:t xml:space="preserve"> </w:t>
      </w:r>
      <w:r w:rsidRPr="00B85DBE">
        <w:rPr>
          <w:rFonts w:ascii="David" w:hAnsi="David" w:cs="David"/>
          <w:b/>
          <w:bCs/>
          <w:sz w:val="24"/>
          <w:szCs w:val="24"/>
          <w:rtl/>
        </w:rPr>
        <w:tab/>
        <w:t xml:space="preserve"> </w:t>
      </w:r>
      <w:r w:rsidRPr="00B85DBE">
        <w:rPr>
          <w:rFonts w:ascii="David" w:hAnsi="David" w:cs="David"/>
          <w:b/>
          <w:bCs/>
          <w:sz w:val="24"/>
          <w:szCs w:val="24"/>
          <w:rtl/>
        </w:rPr>
        <w:tab/>
        <w:t xml:space="preserve">    - נ ג ד </w:t>
      </w:r>
      <w:r>
        <w:rPr>
          <w:rFonts w:ascii="David" w:hAnsi="David" w:cs="David"/>
          <w:b/>
          <w:bCs/>
          <w:sz w:val="24"/>
          <w:szCs w:val="24"/>
          <w:rtl/>
        </w:rPr>
        <w:t>–</w:t>
      </w:r>
    </w:p>
    <w:p w14:paraId="3DC33B1E" w14:textId="77777777" w:rsidR="00C23BEF" w:rsidRDefault="00C23BEF" w:rsidP="00C23BEF">
      <w:pPr>
        <w:spacing w:after="0" w:line="240" w:lineRule="auto"/>
        <w:jc w:val="both"/>
        <w:rPr>
          <w:rFonts w:ascii="David" w:hAnsi="David" w:cs="David"/>
          <w:b/>
          <w:bCs/>
          <w:sz w:val="24"/>
          <w:szCs w:val="24"/>
          <w:rtl/>
        </w:rPr>
      </w:pPr>
    </w:p>
    <w:p w14:paraId="05BFB59C" w14:textId="77777777" w:rsidR="00C23BEF" w:rsidRPr="009876C2" w:rsidRDefault="00C23BEF" w:rsidP="00C23BEF">
      <w:pPr>
        <w:spacing w:line="240" w:lineRule="auto"/>
        <w:jc w:val="both"/>
        <w:rPr>
          <w:rFonts w:ascii="Goudy Old Style" w:hAnsi="Goudy Old Style" w:cs="David"/>
          <w:sz w:val="26"/>
          <w:szCs w:val="26"/>
          <w:rtl/>
        </w:rPr>
      </w:pPr>
      <w:r w:rsidRPr="009876C2">
        <w:rPr>
          <w:rFonts w:ascii="David" w:hAnsi="David" w:cs="David"/>
          <w:b/>
          <w:bCs/>
          <w:sz w:val="26"/>
          <w:szCs w:val="26"/>
          <w:u w:val="single"/>
          <w:rtl/>
        </w:rPr>
        <w:t>המשיב</w:t>
      </w:r>
      <w:r w:rsidRPr="009876C2">
        <w:rPr>
          <w:rFonts w:ascii="David" w:hAnsi="David" w:cs="David"/>
          <w:b/>
          <w:bCs/>
          <w:sz w:val="26"/>
          <w:szCs w:val="26"/>
          <w:rtl/>
        </w:rPr>
        <w:t>:</w:t>
      </w:r>
      <w:r w:rsidRPr="009876C2">
        <w:rPr>
          <w:rFonts w:ascii="David" w:hAnsi="David" w:cs="David"/>
          <w:b/>
          <w:bCs/>
          <w:sz w:val="26"/>
          <w:szCs w:val="26"/>
          <w:rtl/>
        </w:rPr>
        <w:tab/>
      </w:r>
      <w:r>
        <w:rPr>
          <w:rFonts w:ascii="David" w:hAnsi="David" w:cs="David"/>
          <w:b/>
          <w:bCs/>
          <w:sz w:val="26"/>
          <w:szCs w:val="26"/>
          <w:rtl/>
        </w:rPr>
        <w:tab/>
      </w:r>
      <w:r w:rsidRPr="009876C2">
        <w:rPr>
          <w:rFonts w:ascii="Goudy Old Style" w:hAnsi="Goudy Old Style" w:cs="David" w:hint="cs"/>
          <w:b/>
          <w:bCs/>
          <w:sz w:val="26"/>
          <w:szCs w:val="26"/>
          <w:rtl/>
        </w:rPr>
        <w:t xml:space="preserve">עואד סעיד, מספר דרכון </w:t>
      </w:r>
      <w:r w:rsidRPr="009876C2">
        <w:rPr>
          <w:rFonts w:ascii="Goudy Old Style" w:hAnsi="Goudy Old Style" w:cs="David"/>
          <w:b/>
          <w:bCs/>
          <w:sz w:val="26"/>
          <w:szCs w:val="26"/>
          <w:rtl/>
        </w:rPr>
        <w:t>962506606</w:t>
      </w:r>
      <w:r w:rsidRPr="009876C2">
        <w:rPr>
          <w:rFonts w:ascii="Goudy Old Style" w:hAnsi="Goudy Old Style" w:cs="David" w:hint="cs"/>
          <w:b/>
          <w:bCs/>
          <w:sz w:val="26"/>
          <w:szCs w:val="26"/>
          <w:rtl/>
        </w:rPr>
        <w:t xml:space="preserve">     </w:t>
      </w:r>
      <w:r w:rsidRPr="009876C2">
        <w:rPr>
          <w:rFonts w:ascii="Goudy Old Style" w:hAnsi="Goudy Old Style" w:cs="David" w:hint="cs"/>
          <w:sz w:val="26"/>
          <w:szCs w:val="26"/>
          <w:rtl/>
        </w:rPr>
        <w:t>(התובע בביהמ"ש קמא)</w:t>
      </w:r>
    </w:p>
    <w:p w14:paraId="26A6CEA1" w14:textId="77777777" w:rsidR="00C23BEF" w:rsidRPr="0063528A" w:rsidRDefault="00C23BEF" w:rsidP="00C23BEF">
      <w:pPr>
        <w:spacing w:line="240" w:lineRule="auto"/>
        <w:ind w:left="1440" w:firstLine="720"/>
        <w:jc w:val="both"/>
        <w:rPr>
          <w:rFonts w:ascii="David" w:hAnsi="David" w:cs="David"/>
          <w:sz w:val="24"/>
          <w:szCs w:val="24"/>
          <w:rtl/>
        </w:rPr>
      </w:pPr>
      <w:r w:rsidRPr="0063528A">
        <w:rPr>
          <w:rFonts w:ascii="David" w:hAnsi="David" w:cs="David"/>
          <w:sz w:val="24"/>
          <w:szCs w:val="24"/>
          <w:rtl/>
        </w:rPr>
        <w:t>באמצעות ב"כ עוה"ד מ. רוט ואח'</w:t>
      </w:r>
    </w:p>
    <w:p w14:paraId="6851CFBA" w14:textId="77777777" w:rsidR="00C23BEF" w:rsidRPr="0063528A" w:rsidRDefault="00C23BEF" w:rsidP="00C23BEF">
      <w:pPr>
        <w:spacing w:line="240" w:lineRule="auto"/>
        <w:ind w:left="1440" w:firstLine="720"/>
        <w:jc w:val="both"/>
        <w:rPr>
          <w:rFonts w:ascii="David" w:hAnsi="David" w:cs="David"/>
          <w:sz w:val="24"/>
          <w:szCs w:val="24"/>
          <w:rtl/>
        </w:rPr>
      </w:pPr>
      <w:r w:rsidRPr="0063528A">
        <w:rPr>
          <w:rFonts w:ascii="David" w:hAnsi="David" w:cs="David"/>
          <w:sz w:val="24"/>
          <w:szCs w:val="24"/>
          <w:rtl/>
        </w:rPr>
        <w:t>מרחוב מוטה גור 9, פתח תקווה 4952802</w:t>
      </w:r>
    </w:p>
    <w:p w14:paraId="259AF939" w14:textId="77777777" w:rsidR="00C23BEF" w:rsidRPr="0063528A" w:rsidRDefault="00C23BEF" w:rsidP="00C23BEF">
      <w:pPr>
        <w:spacing w:line="240" w:lineRule="auto"/>
        <w:ind w:left="1440" w:firstLine="720"/>
        <w:jc w:val="both"/>
        <w:rPr>
          <w:rFonts w:ascii="David" w:hAnsi="David" w:cs="David"/>
          <w:sz w:val="24"/>
          <w:szCs w:val="24"/>
          <w:rtl/>
        </w:rPr>
      </w:pPr>
      <w:r w:rsidRPr="0063528A">
        <w:rPr>
          <w:rFonts w:ascii="David" w:hAnsi="David" w:cs="David"/>
          <w:sz w:val="24"/>
          <w:szCs w:val="24"/>
          <w:rtl/>
        </w:rPr>
        <w:t>טל': 03-5788780, פקס: 03-5788784</w:t>
      </w:r>
    </w:p>
    <w:p w14:paraId="4557D3B4" w14:textId="77777777" w:rsidR="00C23BEF" w:rsidRPr="0063528A" w:rsidRDefault="00C23BEF" w:rsidP="00C23BEF">
      <w:pPr>
        <w:spacing w:line="240" w:lineRule="auto"/>
        <w:ind w:left="1440" w:firstLine="720"/>
        <w:jc w:val="both"/>
        <w:rPr>
          <w:rFonts w:ascii="David" w:hAnsi="David" w:cs="David"/>
          <w:sz w:val="24"/>
          <w:szCs w:val="24"/>
          <w:rtl/>
        </w:rPr>
      </w:pPr>
      <w:r w:rsidRPr="0063528A">
        <w:rPr>
          <w:rFonts w:ascii="David" w:hAnsi="David" w:cs="David"/>
          <w:sz w:val="24"/>
          <w:szCs w:val="24"/>
          <w:rtl/>
        </w:rPr>
        <w:t xml:space="preserve">דוא"ל: </w:t>
      </w:r>
      <w:r w:rsidRPr="0063528A">
        <w:rPr>
          <w:rFonts w:ascii="David" w:hAnsi="David" w:cs="David"/>
          <w:sz w:val="24"/>
          <w:szCs w:val="24"/>
        </w:rPr>
        <w:t>yairot22@gmail.com</w:t>
      </w:r>
    </w:p>
    <w:p w14:paraId="140AEE66" w14:textId="77777777" w:rsidR="00FA77EF" w:rsidRDefault="00FA77EF" w:rsidP="00625A4E">
      <w:pPr>
        <w:pStyle w:val="a4"/>
        <w:rPr>
          <w:rFonts w:cs="David"/>
          <w:sz w:val="24"/>
          <w:szCs w:val="24"/>
          <w:rtl/>
        </w:rPr>
      </w:pPr>
    </w:p>
    <w:p w14:paraId="026886FD" w14:textId="300F796F" w:rsidR="00CD5229" w:rsidRDefault="00296633" w:rsidP="004C0408">
      <w:pPr>
        <w:pStyle w:val="a4"/>
        <w:jc w:val="center"/>
        <w:rPr>
          <w:rFonts w:cs="David"/>
          <w:b/>
          <w:bCs/>
          <w:sz w:val="36"/>
          <w:szCs w:val="36"/>
          <w:u w:val="single"/>
          <w:rtl/>
        </w:rPr>
      </w:pPr>
      <w:r>
        <w:rPr>
          <w:rFonts w:cs="David" w:hint="cs"/>
          <w:b/>
          <w:bCs/>
          <w:sz w:val="36"/>
          <w:szCs w:val="36"/>
          <w:u w:val="single"/>
          <w:rtl/>
        </w:rPr>
        <w:t xml:space="preserve">בקשה </w:t>
      </w:r>
      <w:r w:rsidR="00A42E85">
        <w:rPr>
          <w:rFonts w:cs="David" w:hint="cs"/>
          <w:b/>
          <w:bCs/>
          <w:sz w:val="36"/>
          <w:szCs w:val="36"/>
          <w:u w:val="single"/>
          <w:rtl/>
        </w:rPr>
        <w:t>מטעם המבקשים לעיכוב ביצוע פסק דין</w:t>
      </w:r>
    </w:p>
    <w:p w14:paraId="2A585136" w14:textId="77777777" w:rsidR="004C2C53" w:rsidRDefault="004C2C53" w:rsidP="004C0408">
      <w:pPr>
        <w:pStyle w:val="a4"/>
        <w:jc w:val="center"/>
        <w:rPr>
          <w:rFonts w:cs="David"/>
          <w:b/>
          <w:bCs/>
          <w:sz w:val="36"/>
          <w:szCs w:val="36"/>
          <w:u w:val="single"/>
        </w:rPr>
      </w:pPr>
    </w:p>
    <w:p w14:paraId="45AFDF83" w14:textId="2520B69F" w:rsidR="001D3229" w:rsidRPr="00585144" w:rsidRDefault="000610E1" w:rsidP="004C2C53">
      <w:pPr>
        <w:spacing w:after="0" w:line="360" w:lineRule="auto"/>
        <w:jc w:val="both"/>
        <w:rPr>
          <w:rFonts w:cs="David"/>
          <w:b/>
          <w:bCs/>
          <w:sz w:val="24"/>
          <w:szCs w:val="24"/>
          <w:u w:val="single"/>
          <w:rtl/>
        </w:rPr>
      </w:pPr>
      <w:r w:rsidRPr="00585144">
        <w:rPr>
          <w:rFonts w:cs="David"/>
          <w:sz w:val="24"/>
          <w:szCs w:val="24"/>
          <w:rtl/>
        </w:rPr>
        <w:t>בית המשפט הנכבד שלערעור מתבקש בזאת</w:t>
      </w:r>
      <w:r w:rsidR="004C2C53" w:rsidRPr="00585144">
        <w:rPr>
          <w:rFonts w:cs="David" w:hint="cs"/>
          <w:sz w:val="24"/>
          <w:szCs w:val="24"/>
          <w:rtl/>
        </w:rPr>
        <w:t xml:space="preserve"> </w:t>
      </w:r>
      <w:r w:rsidRPr="00585144">
        <w:rPr>
          <w:rFonts w:cs="David"/>
          <w:sz w:val="24"/>
          <w:szCs w:val="24"/>
          <w:rtl/>
        </w:rPr>
        <w:t xml:space="preserve">לעשות שימוש בסמכות המוקנית לו מכוח תקנה 145 (ג) לתקנות סדר הדין האזרחי, תשע״ט–2018, ולהורות על עיכוב ביצוע על פסק הדין שניתן על ידי בית המשפט המחוזי </w:t>
      </w:r>
      <w:r w:rsidR="001D3229" w:rsidRPr="00585144">
        <w:rPr>
          <w:rFonts w:cs="David" w:hint="cs"/>
          <w:sz w:val="24"/>
          <w:szCs w:val="24"/>
          <w:rtl/>
        </w:rPr>
        <w:t xml:space="preserve">מרכז </w:t>
      </w:r>
      <w:r w:rsidR="001D3229" w:rsidRPr="00585144">
        <w:rPr>
          <w:rFonts w:cs="David"/>
          <w:sz w:val="24"/>
          <w:szCs w:val="24"/>
          <w:rtl/>
        </w:rPr>
        <w:t>–</w:t>
      </w:r>
      <w:r w:rsidR="001D3229" w:rsidRPr="00585144">
        <w:rPr>
          <w:rFonts w:cs="David" w:hint="cs"/>
          <w:sz w:val="24"/>
          <w:szCs w:val="24"/>
          <w:rtl/>
        </w:rPr>
        <w:t xml:space="preserve"> בלוד </w:t>
      </w:r>
      <w:r w:rsidRPr="00585144">
        <w:rPr>
          <w:rFonts w:cs="David"/>
          <w:sz w:val="24"/>
          <w:szCs w:val="24"/>
          <w:rtl/>
        </w:rPr>
        <w:t xml:space="preserve"> (כב׳ השופט</w:t>
      </w:r>
      <w:r w:rsidR="001D3229" w:rsidRPr="00585144">
        <w:rPr>
          <w:rFonts w:cs="David" w:hint="cs"/>
          <w:sz w:val="24"/>
          <w:szCs w:val="24"/>
          <w:rtl/>
        </w:rPr>
        <w:t>ת</w:t>
      </w:r>
      <w:r w:rsidRPr="00585144">
        <w:rPr>
          <w:rFonts w:cs="David"/>
          <w:sz w:val="24"/>
          <w:szCs w:val="24"/>
          <w:rtl/>
        </w:rPr>
        <w:t xml:space="preserve"> מ' </w:t>
      </w:r>
      <w:r w:rsidR="001D3229" w:rsidRPr="00585144">
        <w:rPr>
          <w:rFonts w:cs="David" w:hint="cs"/>
          <w:sz w:val="24"/>
          <w:szCs w:val="24"/>
          <w:rtl/>
        </w:rPr>
        <w:t>בן ארי</w:t>
      </w:r>
      <w:r w:rsidRPr="00585144">
        <w:rPr>
          <w:rFonts w:cs="David"/>
          <w:sz w:val="24"/>
          <w:szCs w:val="24"/>
          <w:rtl/>
        </w:rPr>
        <w:t xml:space="preserve">) בת"א </w:t>
      </w:r>
      <w:r w:rsidR="001D3229" w:rsidRPr="00585144">
        <w:rPr>
          <w:rFonts w:cs="David" w:hint="cs"/>
          <w:sz w:val="24"/>
          <w:szCs w:val="24"/>
          <w:rtl/>
        </w:rPr>
        <w:t xml:space="preserve">35630-04-21 </w:t>
      </w:r>
      <w:r w:rsidRPr="00585144">
        <w:rPr>
          <w:rFonts w:cs="David"/>
          <w:sz w:val="24"/>
          <w:szCs w:val="24"/>
          <w:rtl/>
        </w:rPr>
        <w:t xml:space="preserve">מיום </w:t>
      </w:r>
      <w:r w:rsidR="001D3229" w:rsidRPr="00585144">
        <w:rPr>
          <w:rFonts w:cs="David" w:hint="cs"/>
          <w:sz w:val="24"/>
          <w:szCs w:val="24"/>
          <w:rtl/>
        </w:rPr>
        <w:t>12</w:t>
      </w:r>
      <w:r w:rsidRPr="00585144">
        <w:rPr>
          <w:rFonts w:cs="David"/>
          <w:sz w:val="24"/>
          <w:szCs w:val="24"/>
          <w:rtl/>
        </w:rPr>
        <w:t xml:space="preserve"> </w:t>
      </w:r>
      <w:r w:rsidR="001D3229" w:rsidRPr="00585144">
        <w:rPr>
          <w:rFonts w:cs="David" w:hint="cs"/>
          <w:sz w:val="24"/>
          <w:szCs w:val="24"/>
          <w:rtl/>
        </w:rPr>
        <w:t>ביוני</w:t>
      </w:r>
      <w:r w:rsidRPr="00585144">
        <w:rPr>
          <w:rFonts w:cs="David"/>
          <w:sz w:val="24"/>
          <w:szCs w:val="24"/>
          <w:rtl/>
        </w:rPr>
        <w:t xml:space="preserve"> </w:t>
      </w:r>
      <w:r w:rsidR="001D3229" w:rsidRPr="00585144">
        <w:rPr>
          <w:rFonts w:cs="David" w:hint="cs"/>
          <w:sz w:val="24"/>
          <w:szCs w:val="24"/>
          <w:rtl/>
        </w:rPr>
        <w:t>2025</w:t>
      </w:r>
      <w:r w:rsidRPr="00585144">
        <w:rPr>
          <w:rFonts w:cs="David"/>
          <w:sz w:val="24"/>
          <w:szCs w:val="24"/>
          <w:rtl/>
        </w:rPr>
        <w:t xml:space="preserve"> (להלן: "</w:t>
      </w:r>
      <w:r w:rsidRPr="00585144">
        <w:rPr>
          <w:rFonts w:cs="David"/>
          <w:b/>
          <w:bCs/>
          <w:sz w:val="24"/>
          <w:szCs w:val="24"/>
          <w:rtl/>
        </w:rPr>
        <w:t>פסק הדין</w:t>
      </w:r>
      <w:r w:rsidRPr="00585144">
        <w:rPr>
          <w:rFonts w:cs="David"/>
          <w:sz w:val="24"/>
          <w:szCs w:val="24"/>
          <w:rtl/>
        </w:rPr>
        <w:t xml:space="preserve">") </w:t>
      </w:r>
      <w:r w:rsidR="001D3229" w:rsidRPr="00585144">
        <w:rPr>
          <w:rFonts w:cs="David" w:hint="cs"/>
          <w:sz w:val="24"/>
          <w:szCs w:val="24"/>
          <w:rtl/>
        </w:rPr>
        <w:t xml:space="preserve"> כנגד המערערים/המבקשים, הם נתבעים 1, 3, 5 (למען הנוחות להלן</w:t>
      </w:r>
      <w:r w:rsidR="001D3229" w:rsidRPr="00585144">
        <w:rPr>
          <w:rFonts w:cs="David" w:hint="cs"/>
          <w:b/>
          <w:bCs/>
          <w:sz w:val="24"/>
          <w:szCs w:val="24"/>
          <w:rtl/>
        </w:rPr>
        <w:t>: "המערערים</w:t>
      </w:r>
      <w:r w:rsidR="004C2C53" w:rsidRPr="00585144">
        <w:rPr>
          <w:rFonts w:cs="David" w:hint="cs"/>
          <w:b/>
          <w:bCs/>
          <w:sz w:val="24"/>
          <w:szCs w:val="24"/>
          <w:rtl/>
        </w:rPr>
        <w:t>/המבקשים</w:t>
      </w:r>
      <w:r w:rsidR="001D3229" w:rsidRPr="00585144">
        <w:rPr>
          <w:rFonts w:cs="David" w:hint="cs"/>
          <w:b/>
          <w:bCs/>
          <w:sz w:val="24"/>
          <w:szCs w:val="24"/>
          <w:rtl/>
        </w:rPr>
        <w:t>"</w:t>
      </w:r>
      <w:r w:rsidR="001D3229" w:rsidRPr="00585144">
        <w:rPr>
          <w:rFonts w:cs="David" w:hint="cs"/>
          <w:sz w:val="24"/>
          <w:szCs w:val="24"/>
          <w:rtl/>
        </w:rPr>
        <w:t xml:space="preserve">), וזאת, עד למתן הכרעה בערעור אשר מוגש בפני בית משפט נכבד זה שלערעור והכל כמפורט בגוף הבקשה </w:t>
      </w:r>
      <w:r w:rsidR="004C2C53" w:rsidRPr="00585144">
        <w:rPr>
          <w:rFonts w:cs="David" w:hint="cs"/>
          <w:sz w:val="24"/>
          <w:szCs w:val="24"/>
          <w:rtl/>
        </w:rPr>
        <w:t>שלהלן.</w:t>
      </w:r>
    </w:p>
    <w:p w14:paraId="2B9B6811" w14:textId="77777777" w:rsidR="004C2C53" w:rsidRPr="00585144" w:rsidRDefault="004C2C53" w:rsidP="004C2C53">
      <w:pPr>
        <w:spacing w:after="0" w:line="360" w:lineRule="auto"/>
        <w:jc w:val="both"/>
        <w:rPr>
          <w:rFonts w:cs="David"/>
          <w:b/>
          <w:bCs/>
          <w:sz w:val="24"/>
          <w:szCs w:val="24"/>
          <w:u w:val="single"/>
          <w:rtl/>
        </w:rPr>
      </w:pPr>
    </w:p>
    <w:p w14:paraId="4668A5B9" w14:textId="5AC1A66A" w:rsidR="004C2C53" w:rsidRPr="00585144" w:rsidRDefault="004C2C53" w:rsidP="004C2C53">
      <w:pPr>
        <w:spacing w:after="0" w:line="360" w:lineRule="auto"/>
        <w:jc w:val="both"/>
        <w:rPr>
          <w:rFonts w:cs="David"/>
          <w:sz w:val="24"/>
          <w:szCs w:val="24"/>
          <w:rtl/>
        </w:rPr>
      </w:pPr>
      <w:r w:rsidRPr="00585144">
        <w:rPr>
          <w:rFonts w:cs="David" w:hint="cs"/>
          <w:sz w:val="24"/>
          <w:szCs w:val="24"/>
          <w:rtl/>
        </w:rPr>
        <w:t>כן, מתבקש מבית המשפט הנכבד להורות על סגירת תיק ההוצאה לפועל שנפתח כנגד המבקשים בהליך 522072-08-25  וביטול ההליכים שנפתחו כנגדם עד ל</w:t>
      </w:r>
      <w:r w:rsidR="00585144" w:rsidRPr="00585144">
        <w:rPr>
          <w:rFonts w:cs="David" w:hint="cs"/>
          <w:sz w:val="24"/>
          <w:szCs w:val="24"/>
          <w:rtl/>
        </w:rPr>
        <w:t>שמיעת הערעור ומתן החלטה.</w:t>
      </w:r>
    </w:p>
    <w:p w14:paraId="604C774A" w14:textId="77777777" w:rsidR="004C2C53" w:rsidRPr="00585144" w:rsidRDefault="004C2C53" w:rsidP="000610E1">
      <w:pPr>
        <w:spacing w:after="0" w:line="360" w:lineRule="auto"/>
        <w:jc w:val="both"/>
        <w:rPr>
          <w:rFonts w:cs="David"/>
          <w:b/>
          <w:bCs/>
          <w:sz w:val="24"/>
          <w:szCs w:val="24"/>
          <w:u w:val="single"/>
          <w:rtl/>
        </w:rPr>
      </w:pPr>
    </w:p>
    <w:p w14:paraId="39CDBDA6" w14:textId="6285E205" w:rsidR="001D3229" w:rsidRDefault="00BB4ACF" w:rsidP="00A70019">
      <w:pPr>
        <w:spacing w:after="0" w:line="360" w:lineRule="auto"/>
        <w:jc w:val="both"/>
        <w:rPr>
          <w:rFonts w:cs="David"/>
          <w:b/>
          <w:bCs/>
          <w:sz w:val="24"/>
          <w:szCs w:val="24"/>
          <w:u w:val="single"/>
          <w:rtl/>
        </w:rPr>
      </w:pPr>
      <w:r>
        <w:rPr>
          <w:rFonts w:cs="David" w:hint="cs"/>
          <w:sz w:val="24"/>
          <w:szCs w:val="24"/>
          <w:rtl/>
        </w:rPr>
        <w:t xml:space="preserve">רצ"ב </w:t>
      </w:r>
      <w:r w:rsidR="000610E1" w:rsidRPr="00585144">
        <w:rPr>
          <w:rFonts w:cs="David"/>
          <w:sz w:val="24"/>
          <w:szCs w:val="24"/>
          <w:rtl/>
        </w:rPr>
        <w:t>עותק פסק הדין</w:t>
      </w:r>
      <w:r>
        <w:rPr>
          <w:rFonts w:cs="David" w:hint="cs"/>
          <w:sz w:val="24"/>
          <w:szCs w:val="24"/>
          <w:rtl/>
        </w:rPr>
        <w:t xml:space="preserve">, מסומנת </w:t>
      </w:r>
      <w:r w:rsidR="000610E1" w:rsidRPr="00585144">
        <w:rPr>
          <w:rFonts w:cs="David"/>
          <w:b/>
          <w:bCs/>
          <w:sz w:val="24"/>
          <w:szCs w:val="24"/>
          <w:u w:val="single"/>
          <w:rtl/>
        </w:rPr>
        <w:t>נספח 1</w:t>
      </w:r>
    </w:p>
    <w:p w14:paraId="102C05C9" w14:textId="77777777" w:rsidR="00A70019" w:rsidRDefault="00A70019" w:rsidP="00A70019">
      <w:pPr>
        <w:spacing w:after="0" w:line="360" w:lineRule="auto"/>
        <w:jc w:val="both"/>
        <w:rPr>
          <w:rFonts w:ascii="Times New Roman" w:eastAsia="Times New Roman" w:hAnsi="Times New Roman" w:cs="David" w:hint="cs"/>
          <w:b/>
          <w:bCs/>
          <w:sz w:val="24"/>
          <w:szCs w:val="24"/>
          <w:u w:val="single"/>
          <w:rtl/>
          <w:lang w:eastAsia="he-IL"/>
        </w:rPr>
      </w:pPr>
    </w:p>
    <w:p w14:paraId="59E2E638" w14:textId="77777777" w:rsidR="001D3229" w:rsidRDefault="001D3229" w:rsidP="001D3229">
      <w:pPr>
        <w:spacing w:after="0" w:line="360" w:lineRule="auto"/>
        <w:jc w:val="both"/>
        <w:rPr>
          <w:rFonts w:ascii="Times New Roman" w:eastAsia="Times New Roman" w:hAnsi="Times New Roman" w:cs="David"/>
          <w:b/>
          <w:bCs/>
          <w:sz w:val="24"/>
          <w:szCs w:val="24"/>
          <w:u w:val="single"/>
          <w:rtl/>
          <w:lang w:eastAsia="he-IL"/>
        </w:rPr>
      </w:pPr>
    </w:p>
    <w:p w14:paraId="4A1C36EF" w14:textId="77777777" w:rsidR="001D3229" w:rsidRDefault="001D3229" w:rsidP="001D3229">
      <w:pPr>
        <w:spacing w:after="0" w:line="360" w:lineRule="auto"/>
        <w:jc w:val="both"/>
        <w:rPr>
          <w:rFonts w:ascii="Times New Roman" w:eastAsia="Times New Roman" w:hAnsi="Times New Roman" w:cs="David"/>
          <w:b/>
          <w:bCs/>
          <w:sz w:val="24"/>
          <w:szCs w:val="24"/>
          <w:u w:val="single"/>
          <w:rtl/>
          <w:lang w:eastAsia="he-IL"/>
        </w:rPr>
      </w:pPr>
    </w:p>
    <w:p w14:paraId="05DD535C" w14:textId="77777777" w:rsidR="001D3229" w:rsidRDefault="001D3229" w:rsidP="001D3229">
      <w:pPr>
        <w:spacing w:after="0" w:line="360" w:lineRule="auto"/>
        <w:jc w:val="both"/>
        <w:rPr>
          <w:rFonts w:ascii="Times New Roman" w:eastAsia="Times New Roman" w:hAnsi="Times New Roman" w:cs="David"/>
          <w:b/>
          <w:bCs/>
          <w:sz w:val="24"/>
          <w:szCs w:val="24"/>
          <w:u w:val="single"/>
          <w:rtl/>
          <w:lang w:eastAsia="he-IL"/>
        </w:rPr>
      </w:pPr>
    </w:p>
    <w:p w14:paraId="29457CF8" w14:textId="37745B3F" w:rsidR="001D3229" w:rsidRPr="00347594" w:rsidRDefault="001D3229" w:rsidP="001D3229">
      <w:pPr>
        <w:spacing w:after="0" w:line="360" w:lineRule="auto"/>
        <w:jc w:val="both"/>
        <w:rPr>
          <w:rFonts w:ascii="Times New Roman" w:eastAsia="Times New Roman" w:hAnsi="Times New Roman" w:cs="David"/>
          <w:b/>
          <w:bCs/>
          <w:sz w:val="24"/>
          <w:szCs w:val="24"/>
          <w:u w:val="single"/>
          <w:rtl/>
          <w:lang w:eastAsia="he-IL"/>
        </w:rPr>
      </w:pPr>
      <w:r w:rsidRPr="00347594">
        <w:rPr>
          <w:rFonts w:ascii="Times New Roman" w:eastAsia="Times New Roman" w:hAnsi="Times New Roman" w:cs="David" w:hint="cs"/>
          <w:b/>
          <w:bCs/>
          <w:sz w:val="24"/>
          <w:szCs w:val="24"/>
          <w:u w:val="single"/>
          <w:rtl/>
          <w:lang w:eastAsia="he-IL"/>
        </w:rPr>
        <w:t>ואלה נימוקי הבקשה</w:t>
      </w:r>
      <w:r w:rsidRPr="00FC3FF7">
        <w:rPr>
          <w:rFonts w:ascii="Times New Roman" w:eastAsia="Times New Roman" w:hAnsi="Times New Roman" w:cs="David" w:hint="cs"/>
          <w:b/>
          <w:bCs/>
          <w:sz w:val="24"/>
          <w:szCs w:val="24"/>
          <w:rtl/>
          <w:lang w:eastAsia="he-IL"/>
        </w:rPr>
        <w:t>:</w:t>
      </w:r>
    </w:p>
    <w:p w14:paraId="5EC9285A" w14:textId="7590AAFF" w:rsidR="000610E1" w:rsidRPr="001D3229" w:rsidRDefault="000610E1" w:rsidP="001D3229">
      <w:pPr>
        <w:pStyle w:val="a3"/>
        <w:numPr>
          <w:ilvl w:val="1"/>
          <w:numId w:val="26"/>
        </w:numPr>
        <w:spacing w:after="0" w:line="360" w:lineRule="auto"/>
        <w:ind w:left="509"/>
        <w:jc w:val="both"/>
        <w:rPr>
          <w:rFonts w:cs="David"/>
          <w:b/>
          <w:bCs/>
          <w:sz w:val="26"/>
          <w:szCs w:val="26"/>
          <w:u w:val="single"/>
          <w:rtl/>
        </w:rPr>
      </w:pPr>
      <w:r w:rsidRPr="001D3229">
        <w:rPr>
          <w:rFonts w:cs="David"/>
          <w:b/>
          <w:bCs/>
          <w:sz w:val="26"/>
          <w:szCs w:val="26"/>
          <w:u w:val="single"/>
          <w:rtl/>
        </w:rPr>
        <w:t>המסגרת המשפטית</w:t>
      </w:r>
      <w:r w:rsidRPr="001D3229">
        <w:rPr>
          <w:rFonts w:cs="David"/>
          <w:b/>
          <w:bCs/>
          <w:sz w:val="26"/>
          <w:szCs w:val="26"/>
          <w:u w:val="single"/>
        </w:rPr>
        <w:t>:</w:t>
      </w:r>
    </w:p>
    <w:p w14:paraId="559D1D7C" w14:textId="67420DA6" w:rsidR="000610E1" w:rsidRPr="00A70019" w:rsidRDefault="00B02D90" w:rsidP="00A70019">
      <w:pPr>
        <w:pStyle w:val="a3"/>
        <w:numPr>
          <w:ilvl w:val="0"/>
          <w:numId w:val="29"/>
        </w:numPr>
        <w:spacing w:after="0" w:line="360" w:lineRule="auto"/>
        <w:jc w:val="both"/>
        <w:rPr>
          <w:rFonts w:cs="David"/>
          <w:sz w:val="24"/>
          <w:szCs w:val="24"/>
        </w:rPr>
      </w:pPr>
      <w:r w:rsidRPr="00A70019">
        <w:rPr>
          <w:rFonts w:cs="David" w:hint="cs"/>
          <w:sz w:val="24"/>
          <w:szCs w:val="24"/>
          <w:rtl/>
        </w:rPr>
        <w:t xml:space="preserve">ההלכה הנוהגת הינה כי על המבקש עיכוב ביצוע פס דין להצביע על קיומם של שני תנאים, האחד </w:t>
      </w:r>
      <w:r w:rsidRPr="00A70019">
        <w:rPr>
          <w:rFonts w:cs="David"/>
          <w:sz w:val="24"/>
          <w:szCs w:val="24"/>
          <w:rtl/>
        </w:rPr>
        <w:t>–</w:t>
      </w:r>
      <w:r w:rsidRPr="00A70019">
        <w:rPr>
          <w:rFonts w:cs="David" w:hint="cs"/>
          <w:sz w:val="24"/>
          <w:szCs w:val="24"/>
          <w:rtl/>
        </w:rPr>
        <w:t xml:space="preserve"> סיכויים טובים לכאורה לקבלת הערעור, השני </w:t>
      </w:r>
      <w:r w:rsidRPr="00A70019">
        <w:rPr>
          <w:rFonts w:cs="David"/>
          <w:sz w:val="24"/>
          <w:szCs w:val="24"/>
          <w:rtl/>
        </w:rPr>
        <w:t>–</w:t>
      </w:r>
      <w:r w:rsidRPr="00A70019">
        <w:rPr>
          <w:rFonts w:cs="David" w:hint="cs"/>
          <w:sz w:val="24"/>
          <w:szCs w:val="24"/>
          <w:rtl/>
        </w:rPr>
        <w:t xml:space="preserve"> היעדר יכולת להיפרע / קושי להשיב את המצב לקדמותו במידה ויתקבל הערעור, שני התנאים משליכים האחד על פני רעהו, ככל שגדולים סיכויי הערעור רף הוכחה הנדרש להתקיימות התנאי השני פוחת </w:t>
      </w:r>
      <w:r w:rsidR="000610E1" w:rsidRPr="00A70019">
        <w:rPr>
          <w:rFonts w:cs="David"/>
          <w:sz w:val="24"/>
          <w:szCs w:val="24"/>
          <w:rtl/>
        </w:rPr>
        <w:t>ולהפך</w:t>
      </w:r>
      <w:r w:rsidRPr="00A70019">
        <w:rPr>
          <w:rFonts w:cs="David" w:hint="cs"/>
          <w:sz w:val="24"/>
          <w:szCs w:val="24"/>
          <w:rtl/>
        </w:rPr>
        <w:t>.</w:t>
      </w:r>
      <w:r w:rsidR="000610E1" w:rsidRPr="00A70019">
        <w:rPr>
          <w:rFonts w:cs="David"/>
          <w:sz w:val="24"/>
          <w:szCs w:val="24"/>
          <w:rtl/>
        </w:rPr>
        <w:t xml:space="preserve"> (</w:t>
      </w:r>
      <w:r w:rsidRPr="00A70019">
        <w:rPr>
          <w:rFonts w:cs="David" w:hint="cs"/>
          <w:sz w:val="24"/>
          <w:szCs w:val="24"/>
          <w:rtl/>
        </w:rPr>
        <w:t>ע"א</w:t>
      </w:r>
      <w:r w:rsidR="000610E1" w:rsidRPr="00A70019">
        <w:rPr>
          <w:rFonts w:cs="David"/>
          <w:sz w:val="24"/>
          <w:szCs w:val="24"/>
          <w:rtl/>
        </w:rPr>
        <w:t xml:space="preserve"> 6378/96</w:t>
      </w:r>
      <w:r w:rsidR="000610E1" w:rsidRPr="00A70019">
        <w:rPr>
          <w:rFonts w:cs="David"/>
          <w:b/>
          <w:bCs/>
          <w:sz w:val="24"/>
          <w:szCs w:val="24"/>
          <w:rtl/>
        </w:rPr>
        <w:t xml:space="preserve"> </w:t>
      </w:r>
      <w:r w:rsidRPr="00A70019">
        <w:rPr>
          <w:rFonts w:cs="David" w:hint="cs"/>
          <w:sz w:val="24"/>
          <w:szCs w:val="24"/>
          <w:rtl/>
        </w:rPr>
        <w:t xml:space="preserve">(בש"א 6378-95) </w:t>
      </w:r>
      <w:r w:rsidR="000610E1" w:rsidRPr="00A70019">
        <w:rPr>
          <w:rFonts w:cs="David" w:hint="cs"/>
          <w:b/>
          <w:bCs/>
          <w:sz w:val="24"/>
          <w:szCs w:val="24"/>
          <w:rtl/>
        </w:rPr>
        <w:t>החברה העירונית לפיתוח תיירות בהרצליה בע"מ נ' שיינר ושות' מהנדסים יועצים בע"מ</w:t>
      </w:r>
      <w:r w:rsidR="000610E1" w:rsidRPr="00A70019">
        <w:rPr>
          <w:rFonts w:cs="David"/>
          <w:sz w:val="24"/>
          <w:szCs w:val="24"/>
          <w:rtl/>
        </w:rPr>
        <w:t xml:space="preserve"> (פורסם בנבו)</w:t>
      </w:r>
      <w:r w:rsidR="00A70019" w:rsidRPr="00A70019">
        <w:rPr>
          <w:rFonts w:cs="David" w:hint="cs"/>
          <w:sz w:val="24"/>
          <w:szCs w:val="24"/>
          <w:rtl/>
        </w:rPr>
        <w:t>).</w:t>
      </w:r>
    </w:p>
    <w:p w14:paraId="38C49818" w14:textId="77777777" w:rsidR="00B02D90" w:rsidRDefault="00B02D90" w:rsidP="00585144">
      <w:pPr>
        <w:spacing w:after="0" w:line="360" w:lineRule="auto"/>
        <w:ind w:left="1440" w:right="284"/>
        <w:jc w:val="both"/>
        <w:rPr>
          <w:rFonts w:cs="David"/>
          <w:sz w:val="24"/>
          <w:szCs w:val="24"/>
          <w:rtl/>
        </w:rPr>
      </w:pPr>
    </w:p>
    <w:p w14:paraId="42138F96" w14:textId="6922EB3B" w:rsidR="00933538" w:rsidRDefault="0016290D" w:rsidP="00A70019">
      <w:pPr>
        <w:numPr>
          <w:ilvl w:val="0"/>
          <w:numId w:val="29"/>
        </w:numPr>
        <w:spacing w:after="0" w:line="360" w:lineRule="auto"/>
        <w:jc w:val="both"/>
        <w:rPr>
          <w:rFonts w:cs="David"/>
          <w:sz w:val="26"/>
          <w:szCs w:val="26"/>
        </w:rPr>
      </w:pPr>
      <w:r w:rsidRPr="00D00EB7">
        <w:rPr>
          <w:rFonts w:ascii="David" w:hAnsi="David" w:cs="David" w:hint="cs"/>
          <w:sz w:val="24"/>
          <w:szCs w:val="24"/>
          <w:rtl/>
        </w:rPr>
        <w:t>המערערים יבקשו לציין בפני בית המשפט הנכבד כי בד בבד עם הגשת הודעת הערעור והבקשה דנן מוגשת בקשת המערערים להוספת ראיה חיונית.</w:t>
      </w:r>
      <w:r w:rsidR="00872F04">
        <w:rPr>
          <w:rFonts w:cs="David" w:hint="cs"/>
          <w:sz w:val="26"/>
          <w:szCs w:val="26"/>
          <w:rtl/>
        </w:rPr>
        <w:t xml:space="preserve"> </w:t>
      </w:r>
      <w:r w:rsidR="00933538" w:rsidRPr="00D00EB7">
        <w:rPr>
          <w:rFonts w:cs="David" w:hint="cs"/>
          <w:sz w:val="26"/>
          <w:szCs w:val="26"/>
          <w:rtl/>
        </w:rPr>
        <w:t>שעניינה</w:t>
      </w:r>
      <w:r w:rsidR="00933538" w:rsidRPr="00D00EB7">
        <w:rPr>
          <w:rFonts w:ascii="David" w:hAnsi="David" w:cs="David" w:hint="cs"/>
          <w:sz w:val="24"/>
          <w:szCs w:val="24"/>
          <w:rtl/>
        </w:rPr>
        <w:t xml:space="preserve"> תאונה בה היה המשיב מעורב</w:t>
      </w:r>
      <w:r w:rsidR="00D00EB7" w:rsidRPr="00D00EB7">
        <w:rPr>
          <w:rFonts w:ascii="David" w:hAnsi="David" w:cs="David" w:hint="cs"/>
          <w:sz w:val="24"/>
          <w:szCs w:val="24"/>
          <w:rtl/>
        </w:rPr>
        <w:t xml:space="preserve"> במסגרת עבודתו במערערת 1</w:t>
      </w:r>
      <w:r w:rsidR="00933538" w:rsidRPr="00D00EB7">
        <w:rPr>
          <w:rFonts w:ascii="David" w:hAnsi="David" w:cs="David" w:hint="cs"/>
          <w:sz w:val="24"/>
          <w:szCs w:val="24"/>
          <w:rtl/>
        </w:rPr>
        <w:t xml:space="preserve">, </w:t>
      </w:r>
      <w:r w:rsidR="00D00EB7" w:rsidRPr="00D00EB7">
        <w:rPr>
          <w:rFonts w:ascii="David" w:hAnsi="David" w:cs="David" w:hint="cs"/>
          <w:sz w:val="24"/>
          <w:szCs w:val="24"/>
          <w:rtl/>
        </w:rPr>
        <w:t>במסגרתה נפגע כתוצאה</w:t>
      </w:r>
      <w:r w:rsidR="00933538" w:rsidRPr="00D00EB7">
        <w:rPr>
          <w:rFonts w:ascii="David" w:hAnsi="David" w:cs="David" w:hint="cs"/>
          <w:sz w:val="24"/>
          <w:szCs w:val="24"/>
          <w:rtl/>
        </w:rPr>
        <w:t xml:space="preserve"> </w:t>
      </w:r>
      <w:r w:rsidR="00D00EB7" w:rsidRPr="00D00EB7">
        <w:rPr>
          <w:rFonts w:ascii="David" w:hAnsi="David" w:cs="David" w:hint="cs"/>
          <w:sz w:val="24"/>
          <w:szCs w:val="24"/>
          <w:rtl/>
        </w:rPr>
        <w:t>מ</w:t>
      </w:r>
      <w:r w:rsidR="00933538" w:rsidRPr="00D00EB7">
        <w:rPr>
          <w:rFonts w:ascii="David" w:hAnsi="David" w:cs="David" w:hint="cs"/>
          <w:sz w:val="24"/>
          <w:szCs w:val="24"/>
          <w:rtl/>
        </w:rPr>
        <w:t xml:space="preserve">מכונה זהה, </w:t>
      </w:r>
      <w:r w:rsidR="00D00EB7" w:rsidRPr="00D00EB7">
        <w:rPr>
          <w:rFonts w:ascii="David" w:hAnsi="David" w:cs="David" w:hint="cs"/>
          <w:sz w:val="24"/>
          <w:szCs w:val="24"/>
          <w:rtl/>
        </w:rPr>
        <w:t>בזמן</w:t>
      </w:r>
      <w:r w:rsidR="00933538" w:rsidRPr="00D00EB7">
        <w:rPr>
          <w:rFonts w:ascii="David" w:hAnsi="David" w:cs="David" w:hint="cs"/>
          <w:sz w:val="24"/>
          <w:szCs w:val="24"/>
          <w:rtl/>
        </w:rPr>
        <w:t xml:space="preserve"> </w:t>
      </w:r>
      <w:r w:rsidR="00D00EB7" w:rsidRPr="00D00EB7">
        <w:rPr>
          <w:rFonts w:ascii="David" w:hAnsi="David" w:cs="David" w:hint="cs"/>
          <w:sz w:val="24"/>
          <w:szCs w:val="24"/>
          <w:rtl/>
        </w:rPr>
        <w:t>ש</w:t>
      </w:r>
      <w:r w:rsidR="00933538" w:rsidRPr="00D00EB7">
        <w:rPr>
          <w:rFonts w:ascii="David" w:hAnsi="David" w:cs="David" w:hint="cs"/>
          <w:sz w:val="24"/>
          <w:szCs w:val="24"/>
          <w:rtl/>
        </w:rPr>
        <w:t>הכניס ידו למכונה ועצמות ידו נפגעו ואובחן שבר/ריסוק</w:t>
      </w:r>
      <w:r w:rsidR="00D00EB7" w:rsidRPr="00D00EB7">
        <w:rPr>
          <w:rFonts w:ascii="David" w:hAnsi="David" w:cs="David" w:hint="cs"/>
          <w:sz w:val="24"/>
          <w:szCs w:val="24"/>
          <w:rtl/>
        </w:rPr>
        <w:t xml:space="preserve"> בשיעור 10% לצמיתות.</w:t>
      </w:r>
      <w:r w:rsidR="00933538" w:rsidRPr="00D00EB7">
        <w:rPr>
          <w:rFonts w:ascii="David" w:hAnsi="David" w:cs="David" w:hint="cs"/>
          <w:sz w:val="24"/>
          <w:szCs w:val="24"/>
          <w:rtl/>
        </w:rPr>
        <w:t xml:space="preserve"> </w:t>
      </w:r>
    </w:p>
    <w:p w14:paraId="52D339AA" w14:textId="77777777" w:rsidR="00585144" w:rsidRPr="00D00EB7" w:rsidRDefault="00585144" w:rsidP="00585144">
      <w:pPr>
        <w:spacing w:after="0" w:line="360" w:lineRule="auto"/>
        <w:ind w:left="720"/>
        <w:jc w:val="both"/>
        <w:rPr>
          <w:rFonts w:cs="David"/>
          <w:sz w:val="26"/>
          <w:szCs w:val="26"/>
        </w:rPr>
      </w:pPr>
    </w:p>
    <w:p w14:paraId="222FF290" w14:textId="4EEFE558" w:rsidR="00933538" w:rsidRDefault="00933538" w:rsidP="00A70019">
      <w:pPr>
        <w:numPr>
          <w:ilvl w:val="0"/>
          <w:numId w:val="29"/>
        </w:numPr>
        <w:spacing w:after="0" w:line="360" w:lineRule="auto"/>
        <w:jc w:val="both"/>
        <w:rPr>
          <w:rFonts w:cs="David"/>
          <w:sz w:val="26"/>
          <w:szCs w:val="26"/>
        </w:rPr>
      </w:pPr>
      <w:r w:rsidRPr="00D00EB7">
        <w:rPr>
          <w:rFonts w:ascii="David" w:hAnsi="David" w:cs="David" w:hint="cs"/>
          <w:sz w:val="24"/>
          <w:szCs w:val="24"/>
          <w:rtl/>
        </w:rPr>
        <w:t xml:space="preserve">ראיה זו בעלת חשיבות רבה </w:t>
      </w:r>
      <w:r w:rsidR="00C458FE">
        <w:rPr>
          <w:rFonts w:ascii="David" w:hAnsi="David" w:cs="David" w:hint="cs"/>
          <w:sz w:val="24"/>
          <w:szCs w:val="24"/>
          <w:rtl/>
        </w:rPr>
        <w:t xml:space="preserve">לשאלת האשם התורם ומהימנות המשיב </w:t>
      </w:r>
      <w:r w:rsidRPr="00D00EB7">
        <w:rPr>
          <w:rFonts w:ascii="David" w:hAnsi="David" w:cs="David" w:hint="cs"/>
          <w:sz w:val="24"/>
          <w:szCs w:val="24"/>
          <w:rtl/>
        </w:rPr>
        <w:t>וקבלתה תסייע בהגעה לתוצאה צודקת ואמיתית שעה</w:t>
      </w:r>
      <w:r w:rsidR="00B02D90">
        <w:rPr>
          <w:rFonts w:ascii="David" w:hAnsi="David" w:cs="David" w:hint="cs"/>
          <w:sz w:val="24"/>
          <w:szCs w:val="24"/>
          <w:rtl/>
        </w:rPr>
        <w:t xml:space="preserve"> שיוכח</w:t>
      </w:r>
      <w:r w:rsidRPr="00D00EB7">
        <w:rPr>
          <w:rFonts w:ascii="David" w:hAnsi="David" w:cs="David" w:hint="cs"/>
          <w:sz w:val="24"/>
          <w:szCs w:val="24"/>
          <w:rtl/>
        </w:rPr>
        <w:t xml:space="preserve"> </w:t>
      </w:r>
      <w:r w:rsidR="00B02D90">
        <w:rPr>
          <w:rFonts w:ascii="David" w:hAnsi="David" w:cs="David" w:hint="cs"/>
          <w:sz w:val="24"/>
          <w:szCs w:val="24"/>
          <w:rtl/>
        </w:rPr>
        <w:t xml:space="preserve">כי </w:t>
      </w:r>
      <w:r w:rsidRPr="00D00EB7">
        <w:rPr>
          <w:rFonts w:ascii="David" w:hAnsi="David" w:cs="David" w:hint="cs"/>
          <w:sz w:val="24"/>
          <w:szCs w:val="24"/>
          <w:rtl/>
        </w:rPr>
        <w:t xml:space="preserve">עדותו של המשיב </w:t>
      </w:r>
      <w:r w:rsidR="00B02D90">
        <w:rPr>
          <w:rFonts w:ascii="David" w:hAnsi="David" w:cs="David" w:hint="cs"/>
          <w:sz w:val="24"/>
          <w:szCs w:val="24"/>
          <w:rtl/>
        </w:rPr>
        <w:t>עומדת</w:t>
      </w:r>
      <w:r w:rsidRPr="00D00EB7">
        <w:rPr>
          <w:rFonts w:ascii="David" w:hAnsi="David" w:cs="David" w:hint="cs"/>
          <w:sz w:val="24"/>
          <w:szCs w:val="24"/>
          <w:rtl/>
        </w:rPr>
        <w:t xml:space="preserve"> בסתירה למציאות העובדתית ו</w:t>
      </w:r>
      <w:r w:rsidR="00B02D90">
        <w:rPr>
          <w:rFonts w:ascii="David" w:hAnsi="David" w:cs="David" w:hint="cs"/>
          <w:sz w:val="24"/>
          <w:szCs w:val="24"/>
          <w:rtl/>
        </w:rPr>
        <w:t>יש לכך השפעה</w:t>
      </w:r>
      <w:r w:rsidRPr="00D00EB7">
        <w:rPr>
          <w:rFonts w:ascii="David" w:hAnsi="David" w:cs="David" w:hint="cs"/>
          <w:sz w:val="24"/>
          <w:szCs w:val="24"/>
          <w:rtl/>
        </w:rPr>
        <w:t xml:space="preserve"> </w:t>
      </w:r>
      <w:r w:rsidR="00B02D90">
        <w:rPr>
          <w:rFonts w:ascii="David" w:hAnsi="David" w:cs="David" w:hint="cs"/>
          <w:sz w:val="24"/>
          <w:szCs w:val="24"/>
          <w:rtl/>
        </w:rPr>
        <w:t>הן על</w:t>
      </w:r>
      <w:r w:rsidRPr="00D00EB7">
        <w:rPr>
          <w:rFonts w:ascii="David" w:hAnsi="David" w:cs="David" w:hint="cs"/>
          <w:sz w:val="24"/>
          <w:szCs w:val="24"/>
          <w:rtl/>
        </w:rPr>
        <w:t xml:space="preserve"> </w:t>
      </w:r>
      <w:r w:rsidR="00B02D90">
        <w:rPr>
          <w:rFonts w:ascii="David" w:hAnsi="David" w:cs="David" w:hint="cs"/>
          <w:sz w:val="24"/>
          <w:szCs w:val="24"/>
          <w:rtl/>
        </w:rPr>
        <w:t>גובה</w:t>
      </w:r>
      <w:r w:rsidRPr="00D00EB7">
        <w:rPr>
          <w:rFonts w:ascii="David" w:hAnsi="David" w:cs="David" w:hint="cs"/>
          <w:sz w:val="24"/>
          <w:szCs w:val="24"/>
          <w:rtl/>
        </w:rPr>
        <w:t xml:space="preserve"> הנזק, או </w:t>
      </w:r>
      <w:r w:rsidR="00B02D90">
        <w:rPr>
          <w:rFonts w:ascii="David" w:hAnsi="David" w:cs="David" w:hint="cs"/>
          <w:sz w:val="24"/>
          <w:szCs w:val="24"/>
          <w:rtl/>
        </w:rPr>
        <w:t>לייתר דיוק</w:t>
      </w:r>
      <w:r w:rsidRPr="00D00EB7">
        <w:rPr>
          <w:rFonts w:ascii="David" w:hAnsi="David" w:cs="David" w:hint="cs"/>
          <w:sz w:val="24"/>
          <w:szCs w:val="24"/>
          <w:rtl/>
        </w:rPr>
        <w:t>, שאלת אשמו ומודעתו של המשיב והן לעניין</w:t>
      </w:r>
      <w:r w:rsidR="00B02D90">
        <w:rPr>
          <w:rFonts w:ascii="David" w:hAnsi="David" w:cs="David" w:hint="cs"/>
          <w:sz w:val="24"/>
          <w:szCs w:val="24"/>
          <w:rtl/>
        </w:rPr>
        <w:t xml:space="preserve"> מהימנותו</w:t>
      </w:r>
      <w:r w:rsidR="004E3D2C">
        <w:rPr>
          <w:rFonts w:ascii="David" w:hAnsi="David" w:cs="David" w:hint="cs"/>
          <w:sz w:val="24"/>
          <w:szCs w:val="24"/>
          <w:rtl/>
        </w:rPr>
        <w:t xml:space="preserve"> ואמינותו.</w:t>
      </w:r>
    </w:p>
    <w:p w14:paraId="28E70067" w14:textId="77777777" w:rsidR="00585144" w:rsidRPr="00D00EB7" w:rsidRDefault="00585144" w:rsidP="00585144">
      <w:pPr>
        <w:spacing w:after="0" w:line="360" w:lineRule="auto"/>
        <w:jc w:val="both"/>
        <w:rPr>
          <w:rFonts w:cs="David"/>
          <w:sz w:val="26"/>
          <w:szCs w:val="26"/>
        </w:rPr>
      </w:pPr>
    </w:p>
    <w:p w14:paraId="68745184" w14:textId="604EDC99" w:rsidR="00933538" w:rsidRPr="00585144" w:rsidRDefault="004E3D2C" w:rsidP="00A70019">
      <w:pPr>
        <w:numPr>
          <w:ilvl w:val="0"/>
          <w:numId w:val="29"/>
        </w:numPr>
        <w:spacing w:after="0" w:line="360" w:lineRule="auto"/>
        <w:jc w:val="both"/>
        <w:rPr>
          <w:rFonts w:cs="David"/>
          <w:sz w:val="26"/>
          <w:szCs w:val="26"/>
        </w:rPr>
      </w:pPr>
      <w:r>
        <w:rPr>
          <w:rFonts w:ascii="David" w:hAnsi="David" w:cs="David" w:hint="cs"/>
          <w:sz w:val="24"/>
          <w:szCs w:val="24"/>
          <w:rtl/>
        </w:rPr>
        <w:t>עניינה של הראיה בתאונה שאירעה למשיב</w:t>
      </w:r>
      <w:r w:rsidR="00933538" w:rsidRPr="00D00EB7">
        <w:rPr>
          <w:rFonts w:ascii="David" w:hAnsi="David" w:cs="David" w:hint="cs"/>
          <w:sz w:val="24"/>
          <w:szCs w:val="24"/>
          <w:rtl/>
        </w:rPr>
        <w:t xml:space="preserve"> כשש שנים קודם ל</w:t>
      </w:r>
      <w:r>
        <w:rPr>
          <w:rFonts w:ascii="David" w:hAnsi="David" w:cs="David" w:hint="cs"/>
          <w:sz w:val="24"/>
          <w:szCs w:val="24"/>
          <w:rtl/>
        </w:rPr>
        <w:t>אירוע דנן</w:t>
      </w:r>
      <w:r w:rsidR="00933538" w:rsidRPr="00D00EB7">
        <w:rPr>
          <w:rFonts w:ascii="David" w:hAnsi="David" w:cs="David" w:hint="cs"/>
          <w:sz w:val="24"/>
          <w:szCs w:val="24"/>
          <w:rtl/>
        </w:rPr>
        <w:t xml:space="preserve">,  במסגרתה נפגע </w:t>
      </w:r>
      <w:r>
        <w:rPr>
          <w:rFonts w:ascii="David" w:hAnsi="David" w:cs="David" w:hint="cs"/>
          <w:sz w:val="24"/>
          <w:szCs w:val="24"/>
          <w:rtl/>
        </w:rPr>
        <w:t xml:space="preserve">בתאונת עבודה </w:t>
      </w:r>
      <w:r w:rsidR="00933538" w:rsidRPr="00D00EB7">
        <w:rPr>
          <w:rFonts w:ascii="David" w:hAnsi="David" w:cs="David" w:hint="cs"/>
          <w:sz w:val="24"/>
          <w:szCs w:val="24"/>
          <w:rtl/>
        </w:rPr>
        <w:t xml:space="preserve">בנסיבות דומה, על ידי </w:t>
      </w:r>
      <w:r w:rsidR="00585144">
        <w:rPr>
          <w:rFonts w:ascii="David" w:hAnsi="David" w:cs="David" w:hint="cs"/>
          <w:sz w:val="24"/>
          <w:szCs w:val="24"/>
          <w:rtl/>
        </w:rPr>
        <w:t>אותה</w:t>
      </w:r>
      <w:r w:rsidR="00933538" w:rsidRPr="00D00EB7">
        <w:rPr>
          <w:rFonts w:ascii="David" w:hAnsi="David" w:cs="David" w:hint="cs"/>
          <w:sz w:val="24"/>
          <w:szCs w:val="24"/>
          <w:rtl/>
        </w:rPr>
        <w:t xml:space="preserve"> מכונה</w:t>
      </w:r>
      <w:r>
        <w:rPr>
          <w:rFonts w:ascii="David" w:hAnsi="David" w:cs="David" w:hint="cs"/>
          <w:sz w:val="24"/>
          <w:szCs w:val="24"/>
          <w:rtl/>
        </w:rPr>
        <w:t>. המשיב</w:t>
      </w:r>
      <w:r w:rsidR="00933538" w:rsidRPr="00D00EB7">
        <w:rPr>
          <w:rFonts w:ascii="David" w:hAnsi="David" w:cs="David" w:hint="cs"/>
          <w:sz w:val="24"/>
          <w:szCs w:val="24"/>
          <w:rtl/>
        </w:rPr>
        <w:t xml:space="preserve"> נפגע בידו (השמאלית-השניה) מגלגל שיניים </w:t>
      </w:r>
      <w:r>
        <w:rPr>
          <w:rFonts w:ascii="David" w:hAnsi="David" w:cs="David" w:hint="cs"/>
          <w:sz w:val="24"/>
          <w:szCs w:val="24"/>
          <w:rtl/>
        </w:rPr>
        <w:t>עת ניקה</w:t>
      </w:r>
      <w:r w:rsidR="00933538" w:rsidRPr="00D00EB7">
        <w:rPr>
          <w:rFonts w:ascii="David" w:hAnsi="David" w:cs="David" w:hint="cs"/>
          <w:sz w:val="24"/>
          <w:szCs w:val="24"/>
          <w:rtl/>
        </w:rPr>
        <w:t xml:space="preserve"> את המכונה בידו ונקבעה לו נכות בשיעור 10% בגין חבלה לידו (השמאלית). </w:t>
      </w:r>
    </w:p>
    <w:p w14:paraId="4630F760" w14:textId="77777777" w:rsidR="00585144" w:rsidRDefault="00585144" w:rsidP="00585144">
      <w:pPr>
        <w:spacing w:after="0" w:line="360" w:lineRule="auto"/>
        <w:jc w:val="both"/>
        <w:rPr>
          <w:rFonts w:cs="David"/>
          <w:sz w:val="26"/>
          <w:szCs w:val="26"/>
        </w:rPr>
      </w:pPr>
    </w:p>
    <w:p w14:paraId="583884C6" w14:textId="7DFB8939" w:rsidR="00872F04" w:rsidRDefault="00872F04" w:rsidP="00A70019">
      <w:pPr>
        <w:numPr>
          <w:ilvl w:val="0"/>
          <w:numId w:val="29"/>
        </w:numPr>
        <w:spacing w:after="0" w:line="360" w:lineRule="auto"/>
        <w:jc w:val="both"/>
        <w:rPr>
          <w:rFonts w:cs="David"/>
          <w:sz w:val="26"/>
          <w:szCs w:val="26"/>
        </w:rPr>
      </w:pPr>
      <w:r>
        <w:rPr>
          <w:rFonts w:cs="David" w:hint="cs"/>
          <w:sz w:val="26"/>
          <w:szCs w:val="26"/>
          <w:rtl/>
        </w:rPr>
        <w:t>ויודגש, הערעור לא מתבסס על כך שבית המשפט הנכבד יעתר לבקשה להוספת ראיה כאמור</w:t>
      </w:r>
      <w:r w:rsidR="00585144">
        <w:rPr>
          <w:rFonts w:cs="David" w:hint="cs"/>
          <w:sz w:val="26"/>
          <w:szCs w:val="26"/>
          <w:rtl/>
        </w:rPr>
        <w:t>. וכי נימוקי הערעור כוללים טעמים</w:t>
      </w:r>
      <w:r>
        <w:rPr>
          <w:rFonts w:cs="David" w:hint="cs"/>
          <w:sz w:val="26"/>
          <w:szCs w:val="26"/>
          <w:rtl/>
        </w:rPr>
        <w:t xml:space="preserve"> נוספים המצדיקים לטענתם התערבות בפסק דינו של בית המשפט הנכבד קמא וסבורים כי ערעורם מוצדק ואף מתבקש בנסיבות וכי סיכוייהם טובים.</w:t>
      </w:r>
    </w:p>
    <w:p w14:paraId="4909B494" w14:textId="77777777" w:rsidR="00585144" w:rsidRDefault="00585144" w:rsidP="00585144">
      <w:pPr>
        <w:spacing w:after="0" w:line="360" w:lineRule="auto"/>
        <w:jc w:val="both"/>
        <w:rPr>
          <w:rFonts w:cs="David"/>
          <w:sz w:val="26"/>
          <w:szCs w:val="26"/>
        </w:rPr>
      </w:pPr>
    </w:p>
    <w:p w14:paraId="58F179B0" w14:textId="673169D4" w:rsidR="00585144" w:rsidRDefault="00872F04" w:rsidP="00A70019">
      <w:pPr>
        <w:numPr>
          <w:ilvl w:val="0"/>
          <w:numId w:val="29"/>
        </w:numPr>
        <w:spacing w:after="0" w:line="360" w:lineRule="auto"/>
        <w:jc w:val="both"/>
        <w:rPr>
          <w:rFonts w:cs="David"/>
          <w:sz w:val="26"/>
          <w:szCs w:val="26"/>
        </w:rPr>
      </w:pPr>
      <w:r>
        <w:rPr>
          <w:rFonts w:cs="David" w:hint="cs"/>
          <w:sz w:val="26"/>
          <w:szCs w:val="26"/>
          <w:rtl/>
        </w:rPr>
        <w:t xml:space="preserve">המערערים יטענו כי גם התנאי השני מתקיים בעניינם וכי ככל ויתקבל ערעורם </w:t>
      </w:r>
      <w:r w:rsidRPr="00872F04">
        <w:rPr>
          <w:rFonts w:cs="David"/>
          <w:sz w:val="26"/>
          <w:szCs w:val="26"/>
          <w:rtl/>
        </w:rPr>
        <w:t>יהיה זה מן הנמנע או קשה מאוד להשיב את המצב לקדמותו. במקרים אלה, בהתאם לפסיקת בית המשפט העליון, נוטה בית המשפט לעכב ביצוע של פסקי דין (ראה החלטת כב' השופט רובינשטיין</w:t>
      </w:r>
      <w:r w:rsidR="004E3D2C">
        <w:rPr>
          <w:rFonts w:cs="David" w:hint="cs"/>
          <w:sz w:val="26"/>
          <w:szCs w:val="26"/>
          <w:rtl/>
        </w:rPr>
        <w:t xml:space="preserve"> מיום</w:t>
      </w:r>
      <w:r w:rsidRPr="00872F04">
        <w:rPr>
          <w:rFonts w:cs="David"/>
          <w:sz w:val="26"/>
          <w:szCs w:val="26"/>
          <w:rtl/>
        </w:rPr>
        <w:t xml:space="preserve"> 12.12.07 בע"א 9195/07 </w:t>
      </w:r>
      <w:r w:rsidRPr="00872F04">
        <w:rPr>
          <w:rFonts w:cs="David"/>
          <w:b/>
          <w:bCs/>
          <w:sz w:val="26"/>
          <w:szCs w:val="26"/>
          <w:rtl/>
        </w:rPr>
        <w:t xml:space="preserve">כלל חברה </w:t>
      </w:r>
      <w:r w:rsidRPr="00872F04">
        <w:rPr>
          <w:rFonts w:cs="David"/>
          <w:b/>
          <w:bCs/>
          <w:sz w:val="26"/>
          <w:szCs w:val="26"/>
          <w:rtl/>
        </w:rPr>
        <w:lastRenderedPageBreak/>
        <w:t xml:space="preserve">לביטוח בע"מ נ' ראובן בן שושן ואח' </w:t>
      </w:r>
      <w:r w:rsidRPr="00872F04">
        <w:rPr>
          <w:rFonts w:cs="David"/>
          <w:sz w:val="26"/>
          <w:szCs w:val="26"/>
          <w:rtl/>
        </w:rPr>
        <w:t>[פורסם בנבו]</w:t>
      </w:r>
      <w:r w:rsidR="00A70019">
        <w:rPr>
          <w:rFonts w:cs="David" w:hint="cs"/>
          <w:sz w:val="26"/>
          <w:szCs w:val="26"/>
          <w:rtl/>
        </w:rPr>
        <w:t>)</w:t>
      </w:r>
      <w:r w:rsidRPr="00872F04">
        <w:rPr>
          <w:rFonts w:cs="David"/>
          <w:sz w:val="26"/>
          <w:szCs w:val="26"/>
          <w:rtl/>
        </w:rPr>
        <w:t xml:space="preserve">, שם קיבל את בקשת המבקשת </w:t>
      </w:r>
      <w:r w:rsidR="004E3D2C">
        <w:rPr>
          <w:rFonts w:cs="David" w:hint="cs"/>
          <w:sz w:val="26"/>
          <w:szCs w:val="26"/>
          <w:rtl/>
        </w:rPr>
        <w:t>להגדלת</w:t>
      </w:r>
      <w:r w:rsidRPr="00872F04">
        <w:rPr>
          <w:rFonts w:cs="David"/>
          <w:sz w:val="26"/>
          <w:szCs w:val="26"/>
          <w:rtl/>
        </w:rPr>
        <w:t xml:space="preserve"> הסכום ש</w:t>
      </w:r>
      <w:r w:rsidR="004E3D2C">
        <w:rPr>
          <w:rFonts w:cs="David" w:hint="cs"/>
          <w:sz w:val="26"/>
          <w:szCs w:val="26"/>
          <w:rtl/>
        </w:rPr>
        <w:t>עוכב</w:t>
      </w:r>
      <w:r w:rsidRPr="00872F04">
        <w:rPr>
          <w:rFonts w:cs="David"/>
          <w:sz w:val="26"/>
          <w:szCs w:val="26"/>
          <w:rtl/>
        </w:rPr>
        <w:t xml:space="preserve">, </w:t>
      </w:r>
      <w:r w:rsidR="004E3D2C">
        <w:rPr>
          <w:rFonts w:cs="David" w:hint="cs"/>
          <w:sz w:val="26"/>
          <w:szCs w:val="26"/>
          <w:rtl/>
        </w:rPr>
        <w:t>נקבע</w:t>
      </w:r>
      <w:r w:rsidRPr="00872F04">
        <w:rPr>
          <w:rFonts w:cs="David"/>
          <w:sz w:val="26"/>
          <w:szCs w:val="26"/>
        </w:rPr>
        <w:t>:</w:t>
      </w:r>
    </w:p>
    <w:p w14:paraId="31FE5D8E" w14:textId="77777777" w:rsidR="00585144" w:rsidRPr="00585144" w:rsidRDefault="00585144" w:rsidP="00585144">
      <w:pPr>
        <w:spacing w:after="0" w:line="360" w:lineRule="auto"/>
        <w:jc w:val="both"/>
        <w:rPr>
          <w:rFonts w:cs="David"/>
          <w:sz w:val="26"/>
          <w:szCs w:val="26"/>
        </w:rPr>
      </w:pPr>
    </w:p>
    <w:p w14:paraId="7564502B" w14:textId="06A3362A" w:rsidR="00872F04" w:rsidRDefault="004E3D2C" w:rsidP="004E3D2C">
      <w:pPr>
        <w:spacing w:after="0" w:line="360" w:lineRule="auto"/>
        <w:ind w:left="720"/>
        <w:jc w:val="both"/>
        <w:rPr>
          <w:rFonts w:cs="David"/>
          <w:sz w:val="26"/>
          <w:szCs w:val="26"/>
          <w:rtl/>
        </w:rPr>
      </w:pPr>
      <w:r>
        <w:rPr>
          <w:rFonts w:cs="David" w:hint="cs"/>
          <w:sz w:val="26"/>
          <w:szCs w:val="26"/>
          <w:rtl/>
        </w:rPr>
        <w:t xml:space="preserve">"לגופו של עניין סברתי כי המבקשת אמנם הגישה תצהיר כנדרש להוכחת טענותיה העובדתית אך מדובר בסכום ניכר ביותר ולכאורה קם חשש לגבי אפשרות ההשבה. </w:t>
      </w:r>
      <w:r w:rsidR="00872F04" w:rsidRPr="00872F04">
        <w:rPr>
          <w:rFonts w:cs="David"/>
          <w:sz w:val="26"/>
          <w:szCs w:val="26"/>
          <w:rtl/>
        </w:rPr>
        <w:t xml:space="preserve"> </w:t>
      </w:r>
      <w:r>
        <w:rPr>
          <w:rFonts w:cs="David" w:hint="cs"/>
          <w:sz w:val="26"/>
          <w:szCs w:val="26"/>
          <w:rtl/>
        </w:rPr>
        <w:t>"</w:t>
      </w:r>
      <w:r w:rsidR="00872F04" w:rsidRPr="00872F04">
        <w:rPr>
          <w:rFonts w:cs="David"/>
          <w:sz w:val="26"/>
          <w:szCs w:val="26"/>
          <w:rtl/>
        </w:rPr>
        <w:t>חשש זה אינו מי</w:t>
      </w:r>
      <w:r>
        <w:rPr>
          <w:rFonts w:cs="David" w:hint="cs"/>
          <w:sz w:val="26"/>
          <w:szCs w:val="26"/>
          <w:rtl/>
        </w:rPr>
        <w:t>י</w:t>
      </w:r>
      <w:r w:rsidR="00872F04" w:rsidRPr="00872F04">
        <w:rPr>
          <w:rFonts w:cs="David"/>
          <w:sz w:val="26"/>
          <w:szCs w:val="26"/>
          <w:rtl/>
        </w:rPr>
        <w:t xml:space="preserve">חד עצמו </w:t>
      </w:r>
      <w:r>
        <w:rPr>
          <w:rFonts w:cs="David" w:hint="cs"/>
          <w:sz w:val="26"/>
          <w:szCs w:val="26"/>
          <w:rtl/>
        </w:rPr>
        <w:t>ל</w:t>
      </w:r>
      <w:r w:rsidR="00872F04" w:rsidRPr="00872F04">
        <w:rPr>
          <w:rFonts w:cs="David"/>
          <w:sz w:val="26"/>
          <w:szCs w:val="26"/>
          <w:rtl/>
        </w:rPr>
        <w:t xml:space="preserve">משיבים </w:t>
      </w:r>
      <w:r>
        <w:rPr>
          <w:rFonts w:cs="David" w:hint="cs"/>
          <w:sz w:val="26"/>
          <w:szCs w:val="26"/>
          <w:rtl/>
        </w:rPr>
        <w:t>דנן דווקא, והדעת נותנת כי אדם ממוצע יתקשה בהשבת סכום בסדר גודל זה"</w:t>
      </w:r>
      <w:r w:rsidR="00872F04" w:rsidRPr="00872F04">
        <w:rPr>
          <w:rFonts w:cs="David"/>
          <w:sz w:val="26"/>
          <w:szCs w:val="26"/>
          <w:rtl/>
        </w:rPr>
        <w:t xml:space="preserve"> (ע"א 8181/06 </w:t>
      </w:r>
      <w:r w:rsidR="00570078">
        <w:rPr>
          <w:rFonts w:cs="David" w:hint="cs"/>
          <w:b/>
          <w:bCs/>
          <w:sz w:val="26"/>
          <w:szCs w:val="26"/>
          <w:rtl/>
        </w:rPr>
        <w:t xml:space="preserve">הכשרת הישוב חברה לביטוח בע"מ נ' עזבון המנוחה אטיאס </w:t>
      </w:r>
      <w:r w:rsidR="00570078" w:rsidRPr="00570078">
        <w:rPr>
          <w:rFonts w:cs="David" w:hint="cs"/>
          <w:sz w:val="26"/>
          <w:szCs w:val="26"/>
          <w:rtl/>
        </w:rPr>
        <w:t>(פורסם בנבו); בש"א 7637/</w:t>
      </w:r>
      <w:r w:rsidR="00570078">
        <w:rPr>
          <w:rFonts w:cs="David" w:hint="cs"/>
          <w:sz w:val="26"/>
          <w:szCs w:val="26"/>
          <w:rtl/>
        </w:rPr>
        <w:t>06</w:t>
      </w:r>
      <w:r w:rsidR="00570078">
        <w:rPr>
          <w:rFonts w:cs="David" w:hint="cs"/>
          <w:b/>
          <w:bCs/>
          <w:sz w:val="26"/>
          <w:szCs w:val="26"/>
          <w:rtl/>
        </w:rPr>
        <w:t xml:space="preserve"> כלל חברה לביטוח בע"מ נ' פלוני </w:t>
      </w:r>
      <w:r w:rsidR="00570078">
        <w:rPr>
          <w:rFonts w:cs="David" w:hint="cs"/>
          <w:sz w:val="26"/>
          <w:szCs w:val="26"/>
          <w:rtl/>
        </w:rPr>
        <w:t>(פורסם בנבו)".</w:t>
      </w:r>
    </w:p>
    <w:p w14:paraId="44C6C4CA" w14:textId="77777777" w:rsidR="00570078" w:rsidRDefault="00570078" w:rsidP="004E3D2C">
      <w:pPr>
        <w:spacing w:after="0" w:line="360" w:lineRule="auto"/>
        <w:ind w:left="720"/>
        <w:jc w:val="both"/>
        <w:rPr>
          <w:rFonts w:cs="David"/>
          <w:sz w:val="26"/>
          <w:szCs w:val="26"/>
        </w:rPr>
      </w:pPr>
    </w:p>
    <w:p w14:paraId="011BF1BC" w14:textId="01E37EAB" w:rsidR="00872F04" w:rsidRDefault="00872F04" w:rsidP="00A70019">
      <w:pPr>
        <w:numPr>
          <w:ilvl w:val="0"/>
          <w:numId w:val="29"/>
        </w:numPr>
        <w:spacing w:after="0" w:line="360" w:lineRule="auto"/>
        <w:jc w:val="both"/>
        <w:rPr>
          <w:rFonts w:cs="David"/>
          <w:sz w:val="26"/>
          <w:szCs w:val="26"/>
        </w:rPr>
      </w:pPr>
      <w:r w:rsidRPr="00872F04">
        <w:rPr>
          <w:rFonts w:cs="David"/>
          <w:sz w:val="26"/>
          <w:szCs w:val="26"/>
          <w:rtl/>
        </w:rPr>
        <w:t xml:space="preserve">עוד </w:t>
      </w:r>
      <w:r w:rsidR="00570078">
        <w:rPr>
          <w:rFonts w:cs="David" w:hint="cs"/>
          <w:sz w:val="26"/>
          <w:szCs w:val="26"/>
          <w:rtl/>
        </w:rPr>
        <w:t>מופנה</w:t>
      </w:r>
      <w:r w:rsidRPr="00872F04">
        <w:rPr>
          <w:rFonts w:cs="David"/>
          <w:sz w:val="26"/>
          <w:szCs w:val="26"/>
          <w:rtl/>
        </w:rPr>
        <w:t xml:space="preserve"> בית המשפט הנכבד </w:t>
      </w:r>
      <w:r w:rsidR="00570078">
        <w:rPr>
          <w:rFonts w:cs="David" w:hint="cs"/>
          <w:sz w:val="26"/>
          <w:szCs w:val="26"/>
          <w:rtl/>
        </w:rPr>
        <w:t>ל</w:t>
      </w:r>
      <w:r w:rsidRPr="00872F04">
        <w:rPr>
          <w:rFonts w:cs="David"/>
          <w:sz w:val="26"/>
          <w:szCs w:val="26"/>
          <w:rtl/>
        </w:rPr>
        <w:t xml:space="preserve">החלטת בית המשפט העליון בע"א 3986/18 </w:t>
      </w:r>
      <w:r w:rsidRPr="00872F04">
        <w:rPr>
          <w:rFonts w:cs="David"/>
          <w:b/>
          <w:bCs/>
          <w:sz w:val="26"/>
          <w:szCs w:val="26"/>
          <w:rtl/>
        </w:rPr>
        <w:t>המאגר הישראלי לביטוח רכב "הפול" נ' פלוני</w:t>
      </w:r>
      <w:r w:rsidRPr="00872F04">
        <w:rPr>
          <w:rFonts w:cs="David"/>
          <w:sz w:val="26"/>
          <w:szCs w:val="26"/>
          <w:rtl/>
        </w:rPr>
        <w:t xml:space="preserve"> [פורסם בנבו] ביחס לעיכוב ביצוע, שם קיבל כב' השופט קרא את עמדת </w:t>
      </w:r>
      <w:r>
        <w:rPr>
          <w:rFonts w:cs="David" w:hint="cs"/>
          <w:sz w:val="26"/>
          <w:szCs w:val="26"/>
          <w:rtl/>
        </w:rPr>
        <w:t>המבקשת</w:t>
      </w:r>
      <w:r w:rsidRPr="00872F04">
        <w:rPr>
          <w:rFonts w:cs="David"/>
          <w:sz w:val="26"/>
          <w:szCs w:val="26"/>
          <w:rtl/>
        </w:rPr>
        <w:t xml:space="preserve"> לעכב את פסק הדין בחלק מן הפיצוי, לאור העובדה, כי ייתכן שהמבקשת לא תוכל להיפרע מהמשיב ככל שהערעור יתקבל</w:t>
      </w:r>
      <w:r w:rsidRPr="00872F04">
        <w:rPr>
          <w:rFonts w:cs="David"/>
          <w:sz w:val="26"/>
          <w:szCs w:val="26"/>
        </w:rPr>
        <w:t>.</w:t>
      </w:r>
    </w:p>
    <w:p w14:paraId="19A138C9" w14:textId="77777777" w:rsidR="00570078" w:rsidRDefault="00570078" w:rsidP="00570078">
      <w:pPr>
        <w:spacing w:after="0" w:line="360" w:lineRule="auto"/>
        <w:ind w:left="720"/>
        <w:jc w:val="both"/>
        <w:rPr>
          <w:rFonts w:cs="David"/>
          <w:sz w:val="26"/>
          <w:szCs w:val="26"/>
        </w:rPr>
      </w:pPr>
    </w:p>
    <w:p w14:paraId="4C714ADB" w14:textId="6A00AB04" w:rsidR="00872F04" w:rsidRPr="00D00EB7" w:rsidRDefault="00872F04" w:rsidP="00A70019">
      <w:pPr>
        <w:numPr>
          <w:ilvl w:val="0"/>
          <w:numId w:val="29"/>
        </w:numPr>
        <w:spacing w:after="0" w:line="360" w:lineRule="auto"/>
        <w:jc w:val="both"/>
        <w:rPr>
          <w:rFonts w:cs="David"/>
          <w:sz w:val="26"/>
          <w:szCs w:val="26"/>
          <w:rtl/>
        </w:rPr>
      </w:pPr>
      <w:r>
        <w:rPr>
          <w:rFonts w:cs="David" w:hint="cs"/>
          <w:sz w:val="26"/>
          <w:szCs w:val="26"/>
          <w:rtl/>
        </w:rPr>
        <w:t xml:space="preserve">כפי שיפורט להלן בהרחבה, המבקשים יטענו כי שני התנאים מתקיימים </w:t>
      </w:r>
      <w:r w:rsidR="00585144">
        <w:rPr>
          <w:rFonts w:cs="David" w:hint="cs"/>
          <w:sz w:val="26"/>
          <w:szCs w:val="26"/>
          <w:rtl/>
        </w:rPr>
        <w:t>בעניינם וכי יהיה זה צודק ונכון להורות על עיכוב ביצוע פסק הדין בנסיבות.</w:t>
      </w:r>
    </w:p>
    <w:p w14:paraId="462B56B1" w14:textId="77777777" w:rsidR="00296633" w:rsidRPr="000610E1" w:rsidRDefault="00296633" w:rsidP="00E509CF">
      <w:pPr>
        <w:spacing w:after="0" w:line="360" w:lineRule="auto"/>
        <w:jc w:val="both"/>
        <w:rPr>
          <w:rFonts w:ascii="Times New Roman" w:eastAsia="Times New Roman" w:hAnsi="Times New Roman" w:cs="David"/>
          <w:sz w:val="24"/>
          <w:szCs w:val="24"/>
          <w:rtl/>
          <w:lang w:eastAsia="he-IL"/>
        </w:rPr>
      </w:pPr>
    </w:p>
    <w:p w14:paraId="068F471D" w14:textId="2AC53959" w:rsidR="001D3229" w:rsidRDefault="001D3229" w:rsidP="001D3229">
      <w:pPr>
        <w:pStyle w:val="a3"/>
        <w:spacing w:after="0" w:line="360" w:lineRule="auto"/>
        <w:ind w:left="226"/>
        <w:jc w:val="both"/>
        <w:rPr>
          <w:rFonts w:cs="David"/>
          <w:b/>
          <w:bCs/>
          <w:sz w:val="26"/>
          <w:szCs w:val="26"/>
          <w:u w:val="single"/>
          <w:rtl/>
        </w:rPr>
      </w:pPr>
      <w:r w:rsidRPr="001D3229">
        <w:rPr>
          <w:rFonts w:cs="David" w:hint="cs"/>
          <w:b/>
          <w:bCs/>
          <w:sz w:val="26"/>
          <w:szCs w:val="26"/>
          <w:u w:val="single"/>
          <w:rtl/>
        </w:rPr>
        <w:t xml:space="preserve">ב. סיכויים טובים לקבלת הערעור </w:t>
      </w:r>
      <w:r>
        <w:rPr>
          <w:rFonts w:cs="David" w:hint="cs"/>
          <w:b/>
          <w:bCs/>
          <w:sz w:val="26"/>
          <w:szCs w:val="26"/>
          <w:u w:val="single"/>
          <w:rtl/>
        </w:rPr>
        <w:t>:</w:t>
      </w:r>
      <w:r w:rsidRPr="001D3229">
        <w:rPr>
          <w:rFonts w:cs="David" w:hint="cs"/>
          <w:b/>
          <w:bCs/>
          <w:sz w:val="26"/>
          <w:szCs w:val="26"/>
          <w:u w:val="single"/>
          <w:rtl/>
        </w:rPr>
        <w:t xml:space="preserve"> </w:t>
      </w:r>
    </w:p>
    <w:p w14:paraId="7B3E3130" w14:textId="72AEF38A" w:rsidR="00D8608F" w:rsidRPr="00A70019" w:rsidRDefault="00D8608F" w:rsidP="00A70019">
      <w:pPr>
        <w:pStyle w:val="a3"/>
        <w:numPr>
          <w:ilvl w:val="0"/>
          <w:numId w:val="29"/>
        </w:numPr>
        <w:spacing w:after="0" w:line="360" w:lineRule="auto"/>
        <w:jc w:val="both"/>
        <w:rPr>
          <w:rFonts w:ascii="Times New Roman" w:eastAsia="Times New Roman" w:hAnsi="Times New Roman" w:cs="David"/>
          <w:sz w:val="24"/>
          <w:szCs w:val="24"/>
          <w:lang w:eastAsia="he-IL"/>
        </w:rPr>
      </w:pPr>
      <w:r w:rsidRPr="00A70019">
        <w:rPr>
          <w:rFonts w:ascii="Times New Roman" w:eastAsia="Times New Roman" w:hAnsi="Times New Roman" w:cs="David" w:hint="cs"/>
          <w:sz w:val="24"/>
          <w:szCs w:val="24"/>
          <w:rtl/>
          <w:lang w:eastAsia="he-IL"/>
        </w:rPr>
        <w:t xml:space="preserve">ערעור זה מתבסס על שני אדנים, האחד, גובה הפיצוי שנפסק למשיב, אשר לטענת המערערים </w:t>
      </w:r>
      <w:r w:rsidR="00570078" w:rsidRPr="00A70019">
        <w:rPr>
          <w:rFonts w:ascii="Times New Roman" w:eastAsia="Times New Roman" w:hAnsi="Times New Roman" w:cs="David" w:hint="cs"/>
          <w:sz w:val="24"/>
          <w:szCs w:val="24"/>
          <w:rtl/>
          <w:lang w:eastAsia="he-IL"/>
        </w:rPr>
        <w:t>טעה</w:t>
      </w:r>
      <w:r w:rsidRPr="00A70019">
        <w:rPr>
          <w:rFonts w:ascii="Times New Roman" w:eastAsia="Times New Roman" w:hAnsi="Times New Roman" w:cs="David" w:hint="cs"/>
          <w:sz w:val="24"/>
          <w:szCs w:val="24"/>
          <w:rtl/>
          <w:lang w:eastAsia="he-IL"/>
        </w:rPr>
        <w:t xml:space="preserve"> בית המשפט הנכבד קמא בחישוב הפיצויים ובחישוב שיעורם בראשי הנזק השונים</w:t>
      </w:r>
      <w:r w:rsidR="00570078" w:rsidRPr="00A70019">
        <w:rPr>
          <w:rFonts w:ascii="Times New Roman" w:eastAsia="Times New Roman" w:hAnsi="Times New Roman" w:cs="David" w:hint="cs"/>
          <w:sz w:val="24"/>
          <w:szCs w:val="24"/>
          <w:rtl/>
          <w:lang w:eastAsia="he-IL"/>
        </w:rPr>
        <w:t xml:space="preserve">, השני, זהות הגורמים החבים בתשלום הפיצויים </w:t>
      </w:r>
      <w:r w:rsidR="00570078" w:rsidRPr="00A70019">
        <w:rPr>
          <w:rFonts w:ascii="Times New Roman" w:eastAsia="Times New Roman" w:hAnsi="Times New Roman" w:cs="David"/>
          <w:sz w:val="24"/>
          <w:szCs w:val="24"/>
          <w:rtl/>
          <w:lang w:eastAsia="he-IL"/>
        </w:rPr>
        <w:t>–</w:t>
      </w:r>
      <w:r w:rsidR="00570078" w:rsidRPr="00A70019">
        <w:rPr>
          <w:rFonts w:ascii="Times New Roman" w:eastAsia="Times New Roman" w:hAnsi="Times New Roman" w:cs="David" w:hint="cs"/>
          <w:sz w:val="24"/>
          <w:szCs w:val="24"/>
          <w:rtl/>
          <w:lang w:eastAsia="he-IL"/>
        </w:rPr>
        <w:t xml:space="preserve"> חלוקת האחריות והגורם המעסיק.</w:t>
      </w:r>
    </w:p>
    <w:p w14:paraId="6E6CEBA9" w14:textId="77777777" w:rsidR="00585144" w:rsidRDefault="00585144" w:rsidP="00585144">
      <w:pPr>
        <w:pStyle w:val="a3"/>
        <w:spacing w:after="0" w:line="360" w:lineRule="auto"/>
        <w:jc w:val="both"/>
        <w:rPr>
          <w:rFonts w:ascii="Times New Roman" w:eastAsia="Times New Roman" w:hAnsi="Times New Roman" w:cs="David"/>
          <w:sz w:val="24"/>
          <w:szCs w:val="24"/>
          <w:lang w:eastAsia="he-IL"/>
        </w:rPr>
      </w:pPr>
    </w:p>
    <w:p w14:paraId="2E6F93B4" w14:textId="77777777" w:rsidR="00C458FE" w:rsidRDefault="00D8608F"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בית המשפט הנכבד קמא שגה </w:t>
      </w:r>
      <w:r w:rsidR="00C458FE">
        <w:rPr>
          <w:rFonts w:ascii="Times New Roman" w:eastAsia="Times New Roman" w:hAnsi="Times New Roman" w:cs="David" w:hint="cs"/>
          <w:sz w:val="24"/>
          <w:szCs w:val="24"/>
          <w:rtl/>
          <w:lang w:eastAsia="he-IL"/>
        </w:rPr>
        <w:t>ע</w:t>
      </w:r>
      <w:r>
        <w:rPr>
          <w:rFonts w:ascii="Times New Roman" w:eastAsia="Times New Roman" w:hAnsi="Times New Roman" w:cs="David" w:hint="cs"/>
          <w:sz w:val="24"/>
          <w:szCs w:val="24"/>
          <w:rtl/>
          <w:lang w:eastAsia="he-IL"/>
        </w:rPr>
        <w:t>ת</w:t>
      </w:r>
      <w:r w:rsidR="00C458FE">
        <w:rPr>
          <w:rFonts w:ascii="Times New Roman" w:eastAsia="Times New Roman" w:hAnsi="Times New Roman" w:cs="David" w:hint="cs"/>
          <w:sz w:val="24"/>
          <w:szCs w:val="24"/>
          <w:rtl/>
          <w:lang w:eastAsia="he-IL"/>
        </w:rPr>
        <w:t xml:space="preserve"> העמיד את בסיס שכרו של המשיב על סך 7,000 ₪ תוך קבלת טענתו לשכר "בשחור"</w:t>
      </w:r>
      <w:r>
        <w:rPr>
          <w:rFonts w:ascii="Times New Roman" w:eastAsia="Times New Roman" w:hAnsi="Times New Roman" w:cs="David" w:hint="cs"/>
          <w:sz w:val="24"/>
          <w:szCs w:val="24"/>
          <w:rtl/>
          <w:lang w:eastAsia="he-IL"/>
        </w:rPr>
        <w:t xml:space="preserve"> בניגוד להלכה ובהתבסס על עדות יחידה של בעל דין וזו בלבד. </w:t>
      </w:r>
    </w:p>
    <w:p w14:paraId="09822661" w14:textId="77777777" w:rsidR="00C458FE" w:rsidRPr="00C458FE" w:rsidRDefault="00C458FE" w:rsidP="00C458FE">
      <w:pPr>
        <w:pStyle w:val="a3"/>
        <w:rPr>
          <w:rFonts w:ascii="Times New Roman" w:eastAsia="Times New Roman" w:hAnsi="Times New Roman" w:cs="David"/>
          <w:sz w:val="24"/>
          <w:szCs w:val="24"/>
          <w:rtl/>
          <w:lang w:eastAsia="he-IL"/>
        </w:rPr>
      </w:pPr>
    </w:p>
    <w:p w14:paraId="31442390" w14:textId="777D7672" w:rsidR="00C458FE" w:rsidRDefault="00D8608F"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כן, שגה בית המשפט הנכבד קמא עת פסק למשיב פיצוי בגין הוצאות נסיעות וטיפול תרופתי </w:t>
      </w:r>
      <w:r w:rsidR="00570078">
        <w:rPr>
          <w:rFonts w:ascii="Times New Roman" w:eastAsia="Times New Roman" w:hAnsi="Times New Roman" w:cs="David" w:hint="cs"/>
          <w:sz w:val="24"/>
          <w:szCs w:val="24"/>
          <w:rtl/>
          <w:lang w:eastAsia="he-IL"/>
        </w:rPr>
        <w:t>משלא הוכח על ידו כי הוא לא זכאי לקבלת החזר</w:t>
      </w:r>
      <w:r w:rsidR="00C458FE">
        <w:rPr>
          <w:rFonts w:ascii="Times New Roman" w:eastAsia="Times New Roman" w:hAnsi="Times New Roman" w:cs="David" w:hint="cs"/>
          <w:sz w:val="24"/>
          <w:szCs w:val="24"/>
          <w:rtl/>
          <w:lang w:eastAsia="he-IL"/>
        </w:rPr>
        <w:t>, שהרי אין מחלוקת שמדובר בתאונת עבודה וכפי שהוכח מחומר הראיות, זכאי הוא להחזר בגין הוצאות רפואיות ונסיעות לטיפולים.</w:t>
      </w:r>
    </w:p>
    <w:p w14:paraId="1E151724" w14:textId="77777777" w:rsidR="00C458FE" w:rsidRPr="00C458FE" w:rsidRDefault="00C458FE" w:rsidP="00C458FE">
      <w:pPr>
        <w:pStyle w:val="a3"/>
        <w:rPr>
          <w:rFonts w:ascii="Times New Roman" w:eastAsia="Times New Roman" w:hAnsi="Times New Roman" w:cs="David"/>
          <w:sz w:val="24"/>
          <w:szCs w:val="24"/>
          <w:rtl/>
          <w:lang w:eastAsia="he-IL"/>
        </w:rPr>
      </w:pPr>
    </w:p>
    <w:p w14:paraId="0F1F88CF" w14:textId="0D5FDA3E" w:rsidR="0016290D" w:rsidRDefault="0016290D"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lastRenderedPageBreak/>
        <w:t>המשיב צירף קבלות בודדות בלבד ומלבד עדותו לא הביא ולו ראיה אחת בדבר הצרכים וההוצאות שהוא טען להם ונקבעו לו, בניגוד לדין לשיטת המערערים, ובשיעור גבוה מזה לו הוא זכאי בנסיבות.</w:t>
      </w:r>
    </w:p>
    <w:p w14:paraId="16D35275" w14:textId="77777777" w:rsidR="00585144" w:rsidRPr="00585144" w:rsidRDefault="00585144" w:rsidP="00585144">
      <w:pPr>
        <w:spacing w:after="0" w:line="360" w:lineRule="auto"/>
        <w:jc w:val="both"/>
        <w:rPr>
          <w:rFonts w:ascii="Times New Roman" w:eastAsia="Times New Roman" w:hAnsi="Times New Roman" w:cs="David"/>
          <w:sz w:val="24"/>
          <w:szCs w:val="24"/>
          <w:lang w:eastAsia="he-IL"/>
        </w:rPr>
      </w:pPr>
    </w:p>
    <w:p w14:paraId="06C975A1" w14:textId="77777777" w:rsidR="0016290D" w:rsidRDefault="0016290D"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כן, שגה בית המשפט הנכבד קמא בכך שקיבל את עדותו בנוגע לתאונה על אף שמדובר בעדות כבושה העומדת בניגוד לעדותו כפי שנמסרה בתיעוד הרפואי ובטופסי התביעה אשר הוגשו למל"ל.</w:t>
      </w:r>
    </w:p>
    <w:p w14:paraId="18F6E135" w14:textId="77777777" w:rsidR="00585144" w:rsidRPr="00585144" w:rsidRDefault="00585144" w:rsidP="00585144">
      <w:pPr>
        <w:spacing w:after="0" w:line="360" w:lineRule="auto"/>
        <w:jc w:val="both"/>
        <w:rPr>
          <w:rFonts w:ascii="Times New Roman" w:eastAsia="Times New Roman" w:hAnsi="Times New Roman" w:cs="David"/>
          <w:sz w:val="24"/>
          <w:szCs w:val="24"/>
          <w:lang w:eastAsia="he-IL"/>
        </w:rPr>
      </w:pPr>
    </w:p>
    <w:p w14:paraId="48EB3F7B" w14:textId="3E6121DB" w:rsidR="0016290D" w:rsidRDefault="00C458FE"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טעה </w:t>
      </w:r>
      <w:r w:rsidR="0016290D">
        <w:rPr>
          <w:rFonts w:ascii="Times New Roman" w:eastAsia="Times New Roman" w:hAnsi="Times New Roman" w:cs="David" w:hint="cs"/>
          <w:sz w:val="24"/>
          <w:szCs w:val="24"/>
          <w:rtl/>
          <w:lang w:eastAsia="he-IL"/>
        </w:rPr>
        <w:t>בית המשפט הנכבד קמא לא מצא לנכון לקבוע כי יש אשם תורם בהתנהגותו, וזאת, חרף היותו עובד בכיר, וותיק אשר לו הידע, ההיכרות והניסיון הבלעדי בעבודה עם המכונה ממנה נפגע.</w:t>
      </w:r>
    </w:p>
    <w:p w14:paraId="405064E1" w14:textId="77777777" w:rsidR="00585144" w:rsidRPr="00585144" w:rsidRDefault="00585144" w:rsidP="00585144">
      <w:pPr>
        <w:spacing w:after="0" w:line="360" w:lineRule="auto"/>
        <w:jc w:val="both"/>
        <w:rPr>
          <w:rFonts w:ascii="Times New Roman" w:eastAsia="Times New Roman" w:hAnsi="Times New Roman" w:cs="David"/>
          <w:sz w:val="24"/>
          <w:szCs w:val="24"/>
          <w:lang w:eastAsia="he-IL"/>
        </w:rPr>
      </w:pPr>
    </w:p>
    <w:p w14:paraId="5EAE2025" w14:textId="5063D466" w:rsidR="00167315" w:rsidRDefault="001D3229"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בית המשפט הנכבד קמא </w:t>
      </w:r>
      <w:r w:rsidR="00570078">
        <w:rPr>
          <w:rFonts w:ascii="Times New Roman" w:eastAsia="Times New Roman" w:hAnsi="Times New Roman" w:cs="David" w:hint="cs"/>
          <w:sz w:val="24"/>
          <w:szCs w:val="24"/>
          <w:rtl/>
          <w:lang w:eastAsia="he-IL"/>
        </w:rPr>
        <w:t>טעה</w:t>
      </w:r>
      <w:r w:rsidR="00D8608F">
        <w:rPr>
          <w:rFonts w:ascii="Times New Roman" w:eastAsia="Times New Roman" w:hAnsi="Times New Roman" w:cs="David" w:hint="cs"/>
          <w:sz w:val="24"/>
          <w:szCs w:val="24"/>
          <w:rtl/>
          <w:lang w:eastAsia="he-IL"/>
        </w:rPr>
        <w:t xml:space="preserve"> עת קבע מחד קביעות עובדתיות ביחס למערערת </w:t>
      </w:r>
      <w:r w:rsidR="00570078">
        <w:rPr>
          <w:rFonts w:ascii="Times New Roman" w:eastAsia="Times New Roman" w:hAnsi="Times New Roman" w:cs="David" w:hint="cs"/>
          <w:sz w:val="24"/>
          <w:szCs w:val="24"/>
          <w:rtl/>
          <w:lang w:eastAsia="he-IL"/>
        </w:rPr>
        <w:t>1</w:t>
      </w:r>
      <w:r w:rsidR="00D8608F">
        <w:rPr>
          <w:rFonts w:ascii="Times New Roman" w:eastAsia="Times New Roman" w:hAnsi="Times New Roman" w:cs="David" w:hint="cs"/>
          <w:sz w:val="24"/>
          <w:szCs w:val="24"/>
          <w:rtl/>
          <w:lang w:eastAsia="he-IL"/>
        </w:rPr>
        <w:t xml:space="preserve"> ולהיותה מעסיקת המשיב ואחריותה כפועל יוצא מכך במקביל לקביעתו כי המערער 2 אשר 3 שנים עובר למקרה התמודד עם מחלת הסרטן ופתח בדרך עצמאית וחברה חדשה אשר הוקמה בשנת 2019</w:t>
      </w:r>
      <w:r w:rsidR="00570078">
        <w:rPr>
          <w:rFonts w:ascii="Times New Roman" w:eastAsia="Times New Roman" w:hAnsi="Times New Roman" w:cs="David" w:hint="cs"/>
          <w:sz w:val="24"/>
          <w:szCs w:val="24"/>
          <w:rtl/>
          <w:lang w:eastAsia="he-IL"/>
        </w:rPr>
        <w:t>, אחראי למשיב ומשמש כמנהלו.</w:t>
      </w:r>
    </w:p>
    <w:p w14:paraId="3379E9D8" w14:textId="77777777" w:rsidR="00585144" w:rsidRPr="00585144" w:rsidRDefault="00585144" w:rsidP="00585144">
      <w:pPr>
        <w:spacing w:after="0" w:line="360" w:lineRule="auto"/>
        <w:jc w:val="both"/>
        <w:rPr>
          <w:rFonts w:ascii="Times New Roman" w:eastAsia="Times New Roman" w:hAnsi="Times New Roman" w:cs="David"/>
          <w:sz w:val="24"/>
          <w:szCs w:val="24"/>
          <w:lang w:eastAsia="he-IL"/>
        </w:rPr>
      </w:pPr>
    </w:p>
    <w:p w14:paraId="404917E4" w14:textId="7E00BC83" w:rsidR="00D00EB7" w:rsidRDefault="00D00EB7"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בית המשפט הנכבד קמא קובע כי מר יעקב קסטנבוים ז"ל (להלן:"</w:t>
      </w:r>
      <w:r>
        <w:rPr>
          <w:rFonts w:ascii="Times New Roman" w:eastAsia="Times New Roman" w:hAnsi="Times New Roman" w:cs="David" w:hint="cs"/>
          <w:b/>
          <w:bCs/>
          <w:sz w:val="24"/>
          <w:szCs w:val="24"/>
          <w:rtl/>
          <w:lang w:eastAsia="he-IL"/>
        </w:rPr>
        <w:t>המנוח</w:t>
      </w:r>
      <w:r>
        <w:rPr>
          <w:rFonts w:ascii="Times New Roman" w:eastAsia="Times New Roman" w:hAnsi="Times New Roman" w:cs="David" w:hint="cs"/>
          <w:sz w:val="24"/>
          <w:szCs w:val="24"/>
          <w:rtl/>
          <w:lang w:eastAsia="he-IL"/>
        </w:rPr>
        <w:t>") אחראי לתאונה ומשכך חבה המערערת 1, ובנוסף, קובע כי המערער 2, אחראי לתאונה וזאת מבל</w:t>
      </w:r>
      <w:r w:rsidR="00570078">
        <w:rPr>
          <w:rFonts w:ascii="Times New Roman" w:eastAsia="Times New Roman" w:hAnsi="Times New Roman" w:cs="David" w:hint="cs"/>
          <w:sz w:val="24"/>
          <w:szCs w:val="24"/>
          <w:rtl/>
          <w:lang w:eastAsia="he-IL"/>
        </w:rPr>
        <w:t>י ליישם את הוראות הדין והתנאים הנדרשים להטלת אחריות שכזאת.</w:t>
      </w:r>
    </w:p>
    <w:p w14:paraId="0EDD6576" w14:textId="77777777" w:rsidR="00D8608F" w:rsidRDefault="00D8608F" w:rsidP="00D8608F">
      <w:pPr>
        <w:pStyle w:val="a3"/>
        <w:spacing w:after="0" w:line="360" w:lineRule="auto"/>
        <w:jc w:val="both"/>
        <w:rPr>
          <w:rFonts w:ascii="Times New Roman" w:eastAsia="Times New Roman" w:hAnsi="Times New Roman" w:cs="David"/>
          <w:sz w:val="24"/>
          <w:szCs w:val="24"/>
          <w:lang w:eastAsia="he-IL"/>
        </w:rPr>
      </w:pPr>
    </w:p>
    <w:p w14:paraId="49838D93" w14:textId="0BB2D1D7" w:rsidR="00D8608F" w:rsidRDefault="00D8608F"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כן, </w:t>
      </w:r>
      <w:r>
        <w:rPr>
          <w:rFonts w:cs="David" w:hint="cs"/>
          <w:sz w:val="24"/>
          <w:szCs w:val="24"/>
          <w:rtl/>
        </w:rPr>
        <w:t>הערעור נסוב על קביעת בית המשפט הנכבד קמא בדבר קש"ס בין הנזק שנגרם למערער והתקיימות יסודות עוולת הרשלנות  המיוחסת למערער</w:t>
      </w:r>
      <w:r w:rsidR="00570078">
        <w:rPr>
          <w:rFonts w:cs="David" w:hint="cs"/>
          <w:sz w:val="24"/>
          <w:szCs w:val="24"/>
          <w:rtl/>
        </w:rPr>
        <w:t xml:space="preserve"> 2</w:t>
      </w:r>
      <w:r>
        <w:rPr>
          <w:rFonts w:cs="David" w:hint="cs"/>
          <w:sz w:val="24"/>
          <w:szCs w:val="24"/>
          <w:rtl/>
        </w:rPr>
        <w:t>, שלא הוכחה, לבין ההוצאות הנטענות והתנהלות המשיב, בעוד שקביעת בית המשפט הנכבד קמא, סותרת את עדות המשיב עצמו</w:t>
      </w:r>
      <w:r w:rsidR="009F4E22">
        <w:rPr>
          <w:rFonts w:cs="David" w:hint="cs"/>
          <w:sz w:val="24"/>
          <w:szCs w:val="24"/>
          <w:rtl/>
        </w:rPr>
        <w:t xml:space="preserve"> ומעיון בפרוטוקול דיון ההוכחות ומקריאת פסק דין עולות סתירות ופערים משמעותיים בין העדויות לבין התוצאה אליה בית המשפט הנכבד קמא.</w:t>
      </w:r>
    </w:p>
    <w:p w14:paraId="5E009930" w14:textId="77777777" w:rsidR="009F4E22" w:rsidRPr="009F4E22" w:rsidRDefault="009F4E22" w:rsidP="009F4E22">
      <w:pPr>
        <w:pStyle w:val="a3"/>
        <w:rPr>
          <w:rFonts w:ascii="Times New Roman" w:eastAsia="Times New Roman" w:hAnsi="Times New Roman" w:cs="David"/>
          <w:sz w:val="24"/>
          <w:szCs w:val="24"/>
          <w:rtl/>
          <w:lang w:eastAsia="he-IL"/>
        </w:rPr>
      </w:pPr>
    </w:p>
    <w:p w14:paraId="0455789C" w14:textId="2587E266" w:rsidR="009F4E22" w:rsidRDefault="009F4E22"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המבקשים יטענו כי בנידון דידן, בשים לב למפורט דלעיל ולנטען בהודעת הערעור ברי כי עיקר ערער המערערים נסוב סביב שאלות משפטיות וברי כי סיכויי הערעור טובים ובענווה ובזהירות, אף למעלה מכך.</w:t>
      </w:r>
    </w:p>
    <w:p w14:paraId="1F97642C" w14:textId="77777777" w:rsidR="00585144" w:rsidRPr="00585144" w:rsidRDefault="00585144" w:rsidP="00585144">
      <w:pPr>
        <w:pStyle w:val="a3"/>
        <w:rPr>
          <w:rFonts w:ascii="Times New Roman" w:eastAsia="Times New Roman" w:hAnsi="Times New Roman" w:cs="David"/>
          <w:sz w:val="24"/>
          <w:szCs w:val="24"/>
          <w:rtl/>
          <w:lang w:eastAsia="he-IL"/>
        </w:rPr>
      </w:pPr>
    </w:p>
    <w:p w14:paraId="4C586327" w14:textId="68C50377" w:rsidR="009F4E22" w:rsidRPr="001D3229" w:rsidRDefault="009F4E22" w:rsidP="009F4E22">
      <w:pPr>
        <w:pStyle w:val="a3"/>
        <w:spacing w:after="0" w:line="360" w:lineRule="auto"/>
        <w:ind w:left="226"/>
        <w:jc w:val="both"/>
        <w:rPr>
          <w:rFonts w:cs="David"/>
          <w:b/>
          <w:bCs/>
          <w:sz w:val="26"/>
          <w:szCs w:val="26"/>
          <w:u w:val="single"/>
          <w:rtl/>
        </w:rPr>
      </w:pPr>
      <w:r>
        <w:rPr>
          <w:rFonts w:cs="David" w:hint="cs"/>
          <w:b/>
          <w:bCs/>
          <w:sz w:val="26"/>
          <w:szCs w:val="26"/>
          <w:u w:val="single"/>
          <w:rtl/>
        </w:rPr>
        <w:t xml:space="preserve">ג. </w:t>
      </w:r>
      <w:r w:rsidRPr="009F4E22">
        <w:rPr>
          <w:rFonts w:cs="David" w:hint="cs"/>
          <w:b/>
          <w:bCs/>
          <w:sz w:val="28"/>
          <w:szCs w:val="28"/>
          <w:u w:val="single"/>
          <w:rtl/>
        </w:rPr>
        <w:t>מאזן הנוחות</w:t>
      </w:r>
      <w:r w:rsidR="00872F04">
        <w:rPr>
          <w:rFonts w:cs="David" w:hint="cs"/>
          <w:b/>
          <w:bCs/>
          <w:sz w:val="28"/>
          <w:szCs w:val="28"/>
          <w:u w:val="single"/>
          <w:rtl/>
        </w:rPr>
        <w:t xml:space="preserve"> </w:t>
      </w:r>
      <w:r w:rsidR="00872F04">
        <w:rPr>
          <w:rFonts w:cs="David"/>
          <w:b/>
          <w:bCs/>
          <w:sz w:val="28"/>
          <w:szCs w:val="28"/>
          <w:u w:val="single"/>
          <w:rtl/>
        </w:rPr>
        <w:t>–</w:t>
      </w:r>
      <w:r w:rsidR="00872F04">
        <w:rPr>
          <w:rFonts w:cs="David" w:hint="cs"/>
          <w:b/>
          <w:bCs/>
          <w:sz w:val="28"/>
          <w:szCs w:val="28"/>
          <w:u w:val="single"/>
          <w:rtl/>
        </w:rPr>
        <w:t xml:space="preserve"> היעדר יכולת להיפרע - קושי בהשבת המצב לקדמותו</w:t>
      </w:r>
      <w:r w:rsidRPr="009F4E22">
        <w:rPr>
          <w:rFonts w:cs="David" w:hint="cs"/>
          <w:b/>
          <w:bCs/>
          <w:sz w:val="28"/>
          <w:szCs w:val="28"/>
          <w:u w:val="single"/>
          <w:rtl/>
        </w:rPr>
        <w:t>:</w:t>
      </w:r>
    </w:p>
    <w:p w14:paraId="538F53AF" w14:textId="7B23B89A" w:rsidR="00856A2A" w:rsidRDefault="009F4E22"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בענייננו עסיקנן בפסק דין שניתן כנגד נתבעים (המערערים) שאינם היו מבוטחים אותה העת, המדובר הוא בחברה ובגורמים פרטיים אשר חבים על פי פסק הדין בתשלום פיצויים לנפגע תאונת עבודה פלשתינאי שאינו אזרח ישראלי וכניסתו לישראל טעונה אישור ואשרה.</w:t>
      </w:r>
    </w:p>
    <w:p w14:paraId="6981EA6F" w14:textId="77777777" w:rsidR="00570078" w:rsidRDefault="00570078" w:rsidP="00570078">
      <w:pPr>
        <w:pStyle w:val="a3"/>
        <w:spacing w:after="0" w:line="360" w:lineRule="auto"/>
        <w:jc w:val="both"/>
        <w:rPr>
          <w:rFonts w:ascii="Times New Roman" w:eastAsia="Times New Roman" w:hAnsi="Times New Roman" w:cs="David"/>
          <w:sz w:val="24"/>
          <w:szCs w:val="24"/>
          <w:lang w:eastAsia="he-IL"/>
        </w:rPr>
      </w:pPr>
    </w:p>
    <w:p w14:paraId="262078B0" w14:textId="77777777" w:rsidR="009F4E22" w:rsidRDefault="009F4E22"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lastRenderedPageBreak/>
        <w:t>בנסיבות המקרה, לא ייגרם למשיב כל נזק מעיכוב פסק הדין של בית המשפט הנכבד קמא עד להכרעת בית המשפט שלערעור.</w:t>
      </w:r>
    </w:p>
    <w:p w14:paraId="0F96BB99" w14:textId="77777777" w:rsidR="00585144" w:rsidRPr="00585144" w:rsidRDefault="00585144" w:rsidP="00585144">
      <w:pPr>
        <w:spacing w:after="0" w:line="360" w:lineRule="auto"/>
        <w:jc w:val="both"/>
        <w:rPr>
          <w:rFonts w:ascii="Times New Roman" w:eastAsia="Times New Roman" w:hAnsi="Times New Roman" w:cs="David"/>
          <w:sz w:val="24"/>
          <w:szCs w:val="24"/>
          <w:lang w:eastAsia="he-IL"/>
        </w:rPr>
      </w:pPr>
    </w:p>
    <w:p w14:paraId="3AE66F01" w14:textId="2DBB7E23" w:rsidR="00343F9C" w:rsidRDefault="009F4E22"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השהות </w:t>
      </w:r>
      <w:r w:rsidR="000703E3">
        <w:rPr>
          <w:rFonts w:ascii="Times New Roman" w:eastAsia="Times New Roman" w:hAnsi="Times New Roman" w:cs="David" w:hint="cs"/>
          <w:sz w:val="24"/>
          <w:szCs w:val="24"/>
          <w:rtl/>
          <w:lang w:eastAsia="he-IL"/>
        </w:rPr>
        <w:t>הכרוכה בקבלת הבקשה</w:t>
      </w:r>
      <w:r w:rsidR="00343F9C">
        <w:rPr>
          <w:rFonts w:ascii="Times New Roman" w:eastAsia="Times New Roman" w:hAnsi="Times New Roman" w:cs="David" w:hint="cs"/>
          <w:sz w:val="24"/>
          <w:szCs w:val="24"/>
          <w:rtl/>
          <w:lang w:eastAsia="he-IL"/>
        </w:rPr>
        <w:t xml:space="preserve"> דנא אינה משמעותית, או לכל הפחות משמעותה מזערית, אל מול הקושי בהשבת הכספים שישולמו למשיב שאינו גר בישראל, לא רשאי להכנס ברגיל וגם לא ניתן להגיע למקום </w:t>
      </w:r>
      <w:r w:rsidR="000703E3">
        <w:rPr>
          <w:rFonts w:ascii="Times New Roman" w:eastAsia="Times New Roman" w:hAnsi="Times New Roman" w:cs="David" w:hint="cs"/>
          <w:sz w:val="24"/>
          <w:szCs w:val="24"/>
          <w:rtl/>
          <w:lang w:eastAsia="he-IL"/>
        </w:rPr>
        <w:t>מושבו</w:t>
      </w:r>
      <w:r w:rsidR="00343F9C">
        <w:rPr>
          <w:rFonts w:ascii="Times New Roman" w:eastAsia="Times New Roman" w:hAnsi="Times New Roman" w:cs="David" w:hint="cs"/>
          <w:sz w:val="24"/>
          <w:szCs w:val="24"/>
          <w:rtl/>
          <w:lang w:eastAsia="he-IL"/>
        </w:rPr>
        <w:t xml:space="preserve"> בהיעדר אישור בטחוני והרשאה,</w:t>
      </w:r>
      <w:r w:rsidR="000703E3">
        <w:rPr>
          <w:rFonts w:ascii="Times New Roman" w:eastAsia="Times New Roman" w:hAnsi="Times New Roman" w:cs="David" w:hint="cs"/>
          <w:sz w:val="24"/>
          <w:szCs w:val="24"/>
          <w:rtl/>
          <w:lang w:eastAsia="he-IL"/>
        </w:rPr>
        <w:t xml:space="preserve"> ככל ולא תתקבל הבקשה</w:t>
      </w:r>
      <w:r w:rsidR="00343F9C">
        <w:rPr>
          <w:rFonts w:ascii="Times New Roman" w:eastAsia="Times New Roman" w:hAnsi="Times New Roman" w:cs="David" w:hint="cs"/>
          <w:sz w:val="24"/>
          <w:szCs w:val="24"/>
          <w:rtl/>
          <w:lang w:eastAsia="he-IL"/>
        </w:rPr>
        <w:t xml:space="preserve"> </w:t>
      </w:r>
      <w:r w:rsidR="000703E3">
        <w:rPr>
          <w:rFonts w:ascii="Times New Roman" w:eastAsia="Times New Roman" w:hAnsi="Times New Roman" w:cs="David" w:hint="cs"/>
          <w:sz w:val="24"/>
          <w:szCs w:val="24"/>
          <w:rtl/>
          <w:lang w:eastAsia="he-IL"/>
        </w:rPr>
        <w:t>ו</w:t>
      </w:r>
      <w:r w:rsidR="00343F9C">
        <w:rPr>
          <w:rFonts w:ascii="Times New Roman" w:eastAsia="Times New Roman" w:hAnsi="Times New Roman" w:cs="David" w:hint="cs"/>
          <w:sz w:val="24"/>
          <w:szCs w:val="24"/>
          <w:rtl/>
          <w:lang w:eastAsia="he-IL"/>
        </w:rPr>
        <w:t>המערערים יזכו בערעורם.</w:t>
      </w:r>
    </w:p>
    <w:p w14:paraId="4CBC66EB" w14:textId="77777777" w:rsidR="00585144" w:rsidRPr="00585144" w:rsidRDefault="00585144" w:rsidP="00585144">
      <w:pPr>
        <w:spacing w:after="0" w:line="360" w:lineRule="auto"/>
        <w:jc w:val="both"/>
        <w:rPr>
          <w:rFonts w:ascii="Times New Roman" w:eastAsia="Times New Roman" w:hAnsi="Times New Roman" w:cs="David"/>
          <w:sz w:val="24"/>
          <w:szCs w:val="24"/>
          <w:lang w:eastAsia="he-IL"/>
        </w:rPr>
      </w:pPr>
    </w:p>
    <w:p w14:paraId="7876C971" w14:textId="6DE8F9CC" w:rsidR="00343F9C" w:rsidRDefault="000703E3" w:rsidP="00A70019">
      <w:pPr>
        <w:pStyle w:val="a3"/>
        <w:numPr>
          <w:ilvl w:val="0"/>
          <w:numId w:val="29"/>
        </w:numPr>
        <w:spacing w:after="0" w:line="360" w:lineRule="auto"/>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המבקשים</w:t>
      </w:r>
      <w:r w:rsidR="00343F9C">
        <w:rPr>
          <w:rFonts w:ascii="Times New Roman" w:eastAsia="Times New Roman" w:hAnsi="Times New Roman" w:cs="David" w:hint="cs"/>
          <w:sz w:val="24"/>
          <w:szCs w:val="24"/>
          <w:rtl/>
          <w:lang w:eastAsia="he-IL"/>
        </w:rPr>
        <w:t xml:space="preserve"> הינם חברה, אדם פרטי ויורשת המנוח, כיסים פרטיים אשר תשלום סכו</w:t>
      </w:r>
      <w:r>
        <w:rPr>
          <w:rFonts w:ascii="Times New Roman" w:eastAsia="Times New Roman" w:hAnsi="Times New Roman" w:cs="David" w:hint="cs"/>
          <w:sz w:val="24"/>
          <w:szCs w:val="24"/>
          <w:rtl/>
          <w:lang w:eastAsia="he-IL"/>
        </w:rPr>
        <w:t xml:space="preserve">ם הפיצוי שנפסק לחובתם </w:t>
      </w:r>
      <w:r w:rsidR="00343F9C">
        <w:rPr>
          <w:rFonts w:ascii="Times New Roman" w:eastAsia="Times New Roman" w:hAnsi="Times New Roman" w:cs="David" w:hint="cs"/>
          <w:sz w:val="24"/>
          <w:szCs w:val="24"/>
          <w:rtl/>
          <w:lang w:eastAsia="he-IL"/>
        </w:rPr>
        <w:t xml:space="preserve">יצריך היערכות וקבלת הלוואות ושעבודים </w:t>
      </w:r>
      <w:r>
        <w:rPr>
          <w:rFonts w:ascii="Times New Roman" w:eastAsia="Times New Roman" w:hAnsi="Times New Roman" w:cs="David" w:hint="cs"/>
          <w:sz w:val="24"/>
          <w:szCs w:val="24"/>
          <w:rtl/>
          <w:lang w:eastAsia="he-IL"/>
        </w:rPr>
        <w:t>שמחירם</w:t>
      </w:r>
      <w:r w:rsidR="00343F9C">
        <w:rPr>
          <w:rFonts w:ascii="Times New Roman" w:eastAsia="Times New Roman" w:hAnsi="Times New Roman" w:cs="David" w:hint="cs"/>
          <w:sz w:val="24"/>
          <w:szCs w:val="24"/>
          <w:rtl/>
          <w:lang w:eastAsia="he-IL"/>
        </w:rPr>
        <w:t xml:space="preserve"> בצידם.</w:t>
      </w:r>
    </w:p>
    <w:p w14:paraId="70793A79" w14:textId="77777777" w:rsidR="00585144" w:rsidRPr="00585144" w:rsidRDefault="00585144" w:rsidP="00585144">
      <w:pPr>
        <w:spacing w:after="0" w:line="360" w:lineRule="auto"/>
        <w:jc w:val="both"/>
        <w:rPr>
          <w:rFonts w:ascii="Times New Roman" w:eastAsia="Times New Roman" w:hAnsi="Times New Roman" w:cs="David"/>
          <w:sz w:val="24"/>
          <w:szCs w:val="24"/>
          <w:lang w:eastAsia="he-IL"/>
        </w:rPr>
      </w:pPr>
    </w:p>
    <w:p w14:paraId="769BF307" w14:textId="44620FAD" w:rsidR="00856A2A" w:rsidRDefault="00343F9C" w:rsidP="00A70019">
      <w:pPr>
        <w:pStyle w:val="a3"/>
        <w:numPr>
          <w:ilvl w:val="0"/>
          <w:numId w:val="29"/>
        </w:numPr>
        <w:spacing w:after="0" w:line="360" w:lineRule="auto"/>
        <w:ind w:left="714" w:hanging="357"/>
        <w:jc w:val="both"/>
        <w:rPr>
          <w:rFonts w:cs="David"/>
          <w:sz w:val="24"/>
          <w:szCs w:val="24"/>
        </w:rPr>
      </w:pPr>
      <w:r>
        <w:rPr>
          <w:rFonts w:ascii="Times New Roman" w:eastAsia="Times New Roman" w:hAnsi="Times New Roman" w:cs="David" w:hint="cs"/>
          <w:sz w:val="24"/>
          <w:szCs w:val="24"/>
          <w:rtl/>
          <w:lang w:eastAsia="he-IL"/>
        </w:rPr>
        <w:t>המשיב כאמור פלשתינאי תושב כפר ליד שכם, זכאי לטיפולים והוצאות ע"י המוסד לביטוח לאומי ולהבדיל מהמערערים, השהיה של תשלום עד לאחד מתן ההחלטה בערעור לא תסב לו כל נזק.</w:t>
      </w:r>
    </w:p>
    <w:p w14:paraId="43BC7BBE" w14:textId="77777777" w:rsidR="000703E3" w:rsidRPr="000703E3" w:rsidRDefault="000703E3" w:rsidP="000703E3">
      <w:pPr>
        <w:pStyle w:val="a3"/>
        <w:rPr>
          <w:rFonts w:cs="David"/>
          <w:sz w:val="24"/>
          <w:szCs w:val="24"/>
          <w:rtl/>
        </w:rPr>
      </w:pPr>
    </w:p>
    <w:p w14:paraId="57C74A74" w14:textId="12264285" w:rsidR="00856A2A" w:rsidRDefault="00CC74C3" w:rsidP="00E509CF">
      <w:pPr>
        <w:spacing w:after="0" w:line="360" w:lineRule="auto"/>
        <w:ind w:left="720"/>
        <w:jc w:val="both"/>
        <w:rPr>
          <w:rFonts w:cs="David"/>
          <w:sz w:val="24"/>
          <w:szCs w:val="24"/>
          <w:rtl/>
        </w:rPr>
      </w:pPr>
      <w:r>
        <w:rPr>
          <w:rFonts w:cs="David" w:hint="cs"/>
          <w:b/>
          <w:bCs/>
          <w:sz w:val="24"/>
          <w:szCs w:val="24"/>
          <w:rtl/>
        </w:rPr>
        <w:t>רצ"ב העתק הודעת הערעור</w:t>
      </w:r>
      <w:r w:rsidR="00BB4ACF">
        <w:rPr>
          <w:rFonts w:cs="David" w:hint="cs"/>
          <w:b/>
          <w:bCs/>
          <w:sz w:val="24"/>
          <w:szCs w:val="24"/>
          <w:rtl/>
        </w:rPr>
        <w:t xml:space="preserve">, מצורפת </w:t>
      </w:r>
      <w:r w:rsidR="00BB4ACF" w:rsidRPr="00BB4ACF">
        <w:rPr>
          <w:rFonts w:cs="David" w:hint="cs"/>
          <w:b/>
          <w:bCs/>
          <w:sz w:val="24"/>
          <w:szCs w:val="24"/>
          <w:u w:val="single"/>
          <w:rtl/>
        </w:rPr>
        <w:t xml:space="preserve">כנספח </w:t>
      </w:r>
      <w:r w:rsidR="00BB4ACF">
        <w:rPr>
          <w:rFonts w:cs="David" w:hint="cs"/>
          <w:b/>
          <w:bCs/>
          <w:sz w:val="24"/>
          <w:szCs w:val="24"/>
          <w:u w:val="single"/>
          <w:rtl/>
        </w:rPr>
        <w:t>2</w:t>
      </w:r>
      <w:r w:rsidR="00BB4ACF" w:rsidRPr="00BB4ACF">
        <w:rPr>
          <w:rFonts w:cs="David" w:hint="cs"/>
          <w:b/>
          <w:bCs/>
          <w:sz w:val="24"/>
          <w:szCs w:val="24"/>
          <w:u w:val="single"/>
          <w:rtl/>
        </w:rPr>
        <w:t>.</w:t>
      </w:r>
    </w:p>
    <w:p w14:paraId="1380282C" w14:textId="77777777" w:rsidR="007749BC" w:rsidRDefault="007749BC" w:rsidP="00E509CF">
      <w:pPr>
        <w:spacing w:after="0" w:line="360" w:lineRule="auto"/>
        <w:ind w:left="720"/>
        <w:jc w:val="both"/>
        <w:rPr>
          <w:rFonts w:cs="David"/>
          <w:sz w:val="24"/>
          <w:szCs w:val="24"/>
          <w:rtl/>
        </w:rPr>
      </w:pPr>
    </w:p>
    <w:p w14:paraId="5F28A1A7" w14:textId="13B610E6" w:rsidR="00EA46A3" w:rsidRDefault="00EA46A3" w:rsidP="00A70019">
      <w:pPr>
        <w:pStyle w:val="a3"/>
        <w:numPr>
          <w:ilvl w:val="0"/>
          <w:numId w:val="29"/>
        </w:numPr>
        <w:spacing w:after="0" w:line="360" w:lineRule="auto"/>
        <w:ind w:left="714" w:hanging="357"/>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יפים הם הדברים לענייננו שנאמרו בה"מ 103/81 </w:t>
      </w:r>
      <w:r>
        <w:rPr>
          <w:rFonts w:ascii="David" w:eastAsia="Times New Roman" w:hAnsi="David" w:cs="David" w:hint="cs"/>
          <w:b/>
          <w:bCs/>
          <w:sz w:val="24"/>
          <w:szCs w:val="24"/>
          <w:rtl/>
          <w:lang w:eastAsia="he-IL"/>
        </w:rPr>
        <w:t xml:space="preserve">הרשקו ואח' נ' אורבוך ואח' </w:t>
      </w:r>
      <w:r>
        <w:rPr>
          <w:rFonts w:ascii="David" w:eastAsia="Times New Roman" w:hAnsi="David" w:cs="David" w:hint="cs"/>
          <w:sz w:val="24"/>
          <w:szCs w:val="24"/>
          <w:rtl/>
          <w:lang w:eastAsia="he-IL"/>
        </w:rPr>
        <w:t>(פורסם בנבו):</w:t>
      </w:r>
    </w:p>
    <w:p w14:paraId="52A62EEF" w14:textId="77777777" w:rsidR="000703E3" w:rsidRDefault="000703E3" w:rsidP="000703E3">
      <w:pPr>
        <w:pStyle w:val="a3"/>
        <w:spacing w:after="0" w:line="360" w:lineRule="auto"/>
        <w:ind w:left="714"/>
        <w:jc w:val="both"/>
        <w:rPr>
          <w:rFonts w:ascii="David" w:eastAsia="Times New Roman" w:hAnsi="David" w:cs="David"/>
          <w:sz w:val="24"/>
          <w:szCs w:val="24"/>
          <w:lang w:eastAsia="he-IL"/>
        </w:rPr>
      </w:pPr>
    </w:p>
    <w:p w14:paraId="12B7A694" w14:textId="2B79D91F" w:rsidR="00EA46A3" w:rsidRPr="00A70019" w:rsidRDefault="00EA46A3" w:rsidP="00EA46A3">
      <w:pPr>
        <w:pStyle w:val="a3"/>
        <w:spacing w:after="0" w:line="360" w:lineRule="auto"/>
        <w:ind w:left="714"/>
        <w:jc w:val="both"/>
        <w:rPr>
          <w:rFonts w:ascii="David" w:eastAsia="Times New Roman" w:hAnsi="David" w:cs="David"/>
          <w:sz w:val="24"/>
          <w:szCs w:val="24"/>
          <w:rtl/>
          <w:lang w:eastAsia="he-IL"/>
        </w:rPr>
      </w:pPr>
      <w:r w:rsidRPr="00A70019">
        <w:rPr>
          <w:rFonts w:ascii="David" w:eastAsia="Times New Roman" w:hAnsi="David" w:cs="David"/>
          <w:sz w:val="24"/>
          <w:szCs w:val="24"/>
          <w:rtl/>
          <w:lang w:eastAsia="he-IL"/>
        </w:rPr>
        <w:t>"</w:t>
      </w:r>
      <w:r w:rsidR="00A70019" w:rsidRPr="00A70019">
        <w:rPr>
          <w:rFonts w:ascii="David" w:hAnsi="David" w:cs="David"/>
          <w:sz w:val="24"/>
          <w:szCs w:val="24"/>
          <w:rtl/>
        </w:rPr>
        <w:t xml:space="preserve"> אולם מצד שני, אם לא אורה על העיכוב המבוקש, קיים חשש רציני, שהמבקש (אם יזכה בערעורו) לא יוכל, או יתקשה מאוד, להשיב את המצב לקדמותו. כפי שנקבע לא פעם, זהו השיקול המכריע, המצדיק עיכוב ביצועו של פסק-דין, כדי לא לסכל מראש את טעמו ותכליתו של הערעור. לשון אחרת, כאשר לא ניתן יהיה להחזיר את המצב לקדמותו, די בכך, בדרך כלל, שיש למערער סיכוי כלשהו, ולו גם קלוש, כדי להיענות לבקשת עיכוב ביצוע</w:t>
      </w:r>
      <w:r w:rsidRPr="00A70019">
        <w:rPr>
          <w:rFonts w:ascii="David" w:eastAsia="Times New Roman" w:hAnsi="David" w:cs="David"/>
          <w:sz w:val="24"/>
          <w:szCs w:val="24"/>
          <w:lang w:eastAsia="he-IL"/>
        </w:rPr>
        <w:t>...</w:t>
      </w:r>
      <w:r w:rsidRPr="00A70019">
        <w:rPr>
          <w:rFonts w:ascii="David" w:eastAsia="Times New Roman" w:hAnsi="David" w:cs="David"/>
          <w:sz w:val="24"/>
          <w:szCs w:val="24"/>
          <w:rtl/>
          <w:lang w:eastAsia="he-IL"/>
        </w:rPr>
        <w:t>".</w:t>
      </w:r>
    </w:p>
    <w:p w14:paraId="0F013E60" w14:textId="77777777" w:rsidR="00EA46A3" w:rsidRDefault="00EA46A3" w:rsidP="00EA46A3">
      <w:pPr>
        <w:pStyle w:val="a3"/>
        <w:spacing w:after="0" w:line="360" w:lineRule="auto"/>
        <w:ind w:left="714"/>
        <w:jc w:val="both"/>
        <w:rPr>
          <w:rFonts w:ascii="David" w:eastAsia="Times New Roman" w:hAnsi="David" w:cs="David"/>
          <w:sz w:val="24"/>
          <w:szCs w:val="24"/>
          <w:lang w:eastAsia="he-IL"/>
        </w:rPr>
      </w:pPr>
    </w:p>
    <w:p w14:paraId="34CE7FE6" w14:textId="4F226975" w:rsidR="00EA46A3" w:rsidRDefault="00EA46A3" w:rsidP="00A70019">
      <w:pPr>
        <w:pStyle w:val="a3"/>
        <w:numPr>
          <w:ilvl w:val="0"/>
          <w:numId w:val="29"/>
        </w:numPr>
        <w:spacing w:after="0" w:line="360" w:lineRule="auto"/>
        <w:ind w:left="714" w:hanging="357"/>
        <w:jc w:val="both"/>
        <w:rPr>
          <w:rFonts w:ascii="David" w:hAnsi="David" w:cs="David"/>
        </w:rPr>
      </w:pPr>
      <w:r w:rsidRPr="00EA46A3">
        <w:rPr>
          <w:rFonts w:ascii="David" w:eastAsia="Times New Roman" w:hAnsi="David" w:cs="David" w:hint="cs"/>
          <w:sz w:val="24"/>
          <w:szCs w:val="24"/>
          <w:rtl/>
          <w:lang w:eastAsia="he-IL"/>
        </w:rPr>
        <w:t>המבקשים</w:t>
      </w:r>
      <w:r w:rsidRPr="00EA46A3">
        <w:rPr>
          <w:rFonts w:ascii="David" w:eastAsia="Times New Roman" w:hAnsi="David" w:cs="David"/>
          <w:sz w:val="24"/>
          <w:szCs w:val="24"/>
          <w:rtl/>
          <w:lang w:eastAsia="he-IL"/>
        </w:rPr>
        <w:t xml:space="preserve"> </w:t>
      </w:r>
      <w:r w:rsidR="00A70019">
        <w:rPr>
          <w:rFonts w:ascii="David" w:eastAsia="Times New Roman" w:hAnsi="David" w:cs="David" w:hint="cs"/>
          <w:sz w:val="24"/>
          <w:szCs w:val="24"/>
          <w:rtl/>
          <w:lang w:eastAsia="he-IL"/>
        </w:rPr>
        <w:t>יטענו</w:t>
      </w:r>
      <w:r w:rsidRPr="00EA46A3">
        <w:rPr>
          <w:rFonts w:ascii="David" w:eastAsia="Times New Roman" w:hAnsi="David" w:cs="David"/>
          <w:sz w:val="24"/>
          <w:szCs w:val="24"/>
          <w:rtl/>
          <w:lang w:eastAsia="he-IL"/>
        </w:rPr>
        <w:t>, כי לאור המבחן שנקבע בפסיקה, הסיכוי שיתקבל הערעור על פסק הדין של בית המשפט קמא הינו גבוה ביותר וכי קיים קושי ממשי ל</w:t>
      </w:r>
      <w:r w:rsidRPr="00EA46A3">
        <w:rPr>
          <w:rFonts w:ascii="David" w:eastAsia="Times New Roman" w:hAnsi="David" w:cs="David" w:hint="cs"/>
          <w:sz w:val="24"/>
          <w:szCs w:val="24"/>
          <w:rtl/>
          <w:lang w:eastAsia="he-IL"/>
        </w:rPr>
        <w:t>ה</w:t>
      </w:r>
      <w:r w:rsidRPr="00EA46A3">
        <w:rPr>
          <w:rFonts w:ascii="David" w:eastAsia="Times New Roman" w:hAnsi="David" w:cs="David"/>
          <w:sz w:val="24"/>
          <w:szCs w:val="24"/>
          <w:rtl/>
          <w:lang w:eastAsia="he-IL"/>
        </w:rPr>
        <w:t>ש</w:t>
      </w:r>
      <w:r w:rsidRPr="00EA46A3">
        <w:rPr>
          <w:rFonts w:ascii="David" w:eastAsia="Times New Roman" w:hAnsi="David" w:cs="David" w:hint="cs"/>
          <w:sz w:val="24"/>
          <w:szCs w:val="24"/>
          <w:rtl/>
          <w:lang w:eastAsia="he-IL"/>
        </w:rPr>
        <w:t>י</w:t>
      </w:r>
      <w:r w:rsidRPr="00EA46A3">
        <w:rPr>
          <w:rFonts w:ascii="David" w:eastAsia="Times New Roman" w:hAnsi="David" w:cs="David"/>
          <w:sz w:val="24"/>
          <w:szCs w:val="24"/>
          <w:rtl/>
          <w:lang w:eastAsia="he-IL"/>
        </w:rPr>
        <w:t xml:space="preserve">ב את המצב לקדמותו מאחר </w:t>
      </w:r>
      <w:r w:rsidRPr="00EA46A3">
        <w:rPr>
          <w:rFonts w:ascii="David" w:eastAsia="Times New Roman" w:hAnsi="David" w:cs="David" w:hint="cs"/>
          <w:sz w:val="24"/>
          <w:szCs w:val="24"/>
          <w:rtl/>
          <w:lang w:eastAsia="he-IL"/>
        </w:rPr>
        <w:t>והמשיב אינו אזרח ומתגורר בשטח המוחזק ע"י הרשות הפלשתינאית</w:t>
      </w:r>
      <w:r w:rsidRPr="00EA46A3">
        <w:rPr>
          <w:rFonts w:ascii="David" w:eastAsia="Times New Roman" w:hAnsi="David" w:cs="David"/>
          <w:sz w:val="24"/>
          <w:szCs w:val="24"/>
          <w:rtl/>
          <w:lang w:eastAsia="he-IL"/>
        </w:rPr>
        <w:t xml:space="preserve">, </w:t>
      </w:r>
      <w:r w:rsidRPr="00EA46A3">
        <w:rPr>
          <w:rFonts w:ascii="David" w:eastAsia="Times New Roman" w:hAnsi="David" w:cs="David" w:hint="cs"/>
          <w:sz w:val="24"/>
          <w:szCs w:val="24"/>
          <w:rtl/>
          <w:lang w:eastAsia="he-IL"/>
        </w:rPr>
        <w:t>יהיה קושי עד לכדי חשש ממשי כי ניתן יהיה להשיב למבקשים את הכספים ששולמו</w:t>
      </w:r>
      <w:r w:rsidRPr="00EA46A3">
        <w:rPr>
          <w:rFonts w:ascii="David" w:eastAsia="Times New Roman" w:hAnsi="David" w:cs="David"/>
          <w:sz w:val="24"/>
          <w:szCs w:val="24"/>
          <w:rtl/>
          <w:lang w:eastAsia="he-IL"/>
        </w:rPr>
        <w:t>. כלומר, במידה והערעור יתקבל ותוצאת פסק הדין תשתנה, יהיה קושי רב להחזיר את מצב הדברים לקדמותו וה</w:t>
      </w:r>
      <w:r w:rsidRPr="00EA46A3">
        <w:rPr>
          <w:rFonts w:ascii="David" w:eastAsia="Times New Roman" w:hAnsi="David" w:cs="David" w:hint="cs"/>
          <w:sz w:val="24"/>
          <w:szCs w:val="24"/>
          <w:rtl/>
          <w:lang w:eastAsia="he-IL"/>
        </w:rPr>
        <w:t>מבקשים</w:t>
      </w:r>
      <w:r w:rsidRPr="00EA46A3">
        <w:rPr>
          <w:rFonts w:ascii="David" w:eastAsia="Times New Roman" w:hAnsi="David" w:cs="David"/>
          <w:sz w:val="24"/>
          <w:szCs w:val="24"/>
          <w:rtl/>
          <w:lang w:eastAsia="he-IL"/>
        </w:rPr>
        <w:t xml:space="preserve"> </w:t>
      </w:r>
      <w:r w:rsidRPr="00EA46A3">
        <w:rPr>
          <w:rFonts w:ascii="David" w:eastAsia="Times New Roman" w:hAnsi="David" w:cs="David" w:hint="cs"/>
          <w:sz w:val="24"/>
          <w:szCs w:val="24"/>
          <w:rtl/>
          <w:lang w:eastAsia="he-IL"/>
        </w:rPr>
        <w:t xml:space="preserve">יתקשו </w:t>
      </w:r>
      <w:r w:rsidRPr="00EA46A3">
        <w:rPr>
          <w:rFonts w:ascii="David" w:eastAsia="Times New Roman" w:hAnsi="David" w:cs="David"/>
          <w:sz w:val="24"/>
          <w:szCs w:val="24"/>
          <w:rtl/>
          <w:lang w:eastAsia="he-IL"/>
        </w:rPr>
        <w:t>להשיב את הכספים ששולמו ל</w:t>
      </w:r>
      <w:r w:rsidRPr="00EA46A3">
        <w:rPr>
          <w:rFonts w:ascii="David" w:eastAsia="Times New Roman" w:hAnsi="David" w:cs="David" w:hint="cs"/>
          <w:sz w:val="24"/>
          <w:szCs w:val="24"/>
          <w:rtl/>
          <w:lang w:eastAsia="he-IL"/>
        </w:rPr>
        <w:t>משיב</w:t>
      </w:r>
      <w:r w:rsidRPr="00EA46A3">
        <w:rPr>
          <w:rFonts w:ascii="David" w:eastAsia="Times New Roman" w:hAnsi="David" w:cs="David"/>
          <w:sz w:val="24"/>
          <w:szCs w:val="24"/>
          <w:rtl/>
          <w:lang w:eastAsia="he-IL"/>
        </w:rPr>
        <w:t>.</w:t>
      </w:r>
      <w:r w:rsidRPr="00EA46A3">
        <w:rPr>
          <w:rFonts w:ascii="David" w:eastAsia="Times New Roman" w:hAnsi="David" w:cs="David" w:hint="cs"/>
          <w:sz w:val="24"/>
          <w:szCs w:val="24"/>
          <w:rtl/>
          <w:lang w:eastAsia="he-IL"/>
        </w:rPr>
        <w:t xml:space="preserve"> וגם מן הטעם הזה יש להורות על קבלת הבקשה</w:t>
      </w:r>
      <w:r>
        <w:rPr>
          <w:rFonts w:ascii="David" w:eastAsia="Times New Roman" w:hAnsi="David" w:cs="David" w:hint="cs"/>
          <w:sz w:val="24"/>
          <w:szCs w:val="24"/>
          <w:rtl/>
          <w:lang w:eastAsia="he-IL"/>
        </w:rPr>
        <w:t>.</w:t>
      </w:r>
    </w:p>
    <w:p w14:paraId="0F1CF518" w14:textId="77777777" w:rsidR="00C458FE" w:rsidRDefault="00C458FE" w:rsidP="00C458FE">
      <w:pPr>
        <w:pStyle w:val="a3"/>
        <w:spacing w:after="0" w:line="360" w:lineRule="auto"/>
        <w:ind w:left="714"/>
        <w:jc w:val="both"/>
        <w:rPr>
          <w:rFonts w:ascii="David" w:hAnsi="David" w:cs="David"/>
          <w:rtl/>
        </w:rPr>
      </w:pPr>
    </w:p>
    <w:p w14:paraId="40156B21" w14:textId="77777777" w:rsidR="00A70019" w:rsidRDefault="00A70019" w:rsidP="00C458FE">
      <w:pPr>
        <w:pStyle w:val="a3"/>
        <w:spacing w:after="0" w:line="360" w:lineRule="auto"/>
        <w:ind w:left="714"/>
        <w:jc w:val="both"/>
        <w:rPr>
          <w:rFonts w:ascii="David" w:hAnsi="David" w:cs="David"/>
          <w:rtl/>
        </w:rPr>
      </w:pPr>
    </w:p>
    <w:p w14:paraId="0C24E6B7" w14:textId="77777777" w:rsidR="00A70019" w:rsidRDefault="00A70019" w:rsidP="00C458FE">
      <w:pPr>
        <w:pStyle w:val="a3"/>
        <w:spacing w:after="0" w:line="360" w:lineRule="auto"/>
        <w:ind w:left="714"/>
        <w:jc w:val="both"/>
        <w:rPr>
          <w:rFonts w:ascii="David" w:hAnsi="David" w:cs="David"/>
        </w:rPr>
      </w:pPr>
    </w:p>
    <w:p w14:paraId="37E08FA4" w14:textId="77777777" w:rsidR="00EA46A3" w:rsidRPr="00EA46A3" w:rsidRDefault="00EA46A3" w:rsidP="00E509CF">
      <w:pPr>
        <w:spacing w:after="0" w:line="360" w:lineRule="auto"/>
        <w:ind w:left="720"/>
        <w:jc w:val="both"/>
        <w:rPr>
          <w:rFonts w:cs="David"/>
          <w:sz w:val="24"/>
          <w:szCs w:val="24"/>
          <w:rtl/>
        </w:rPr>
      </w:pPr>
    </w:p>
    <w:p w14:paraId="24A42EEC" w14:textId="77777777" w:rsidR="004F3F24" w:rsidRDefault="004F3F24" w:rsidP="004F3F24">
      <w:pPr>
        <w:spacing w:line="360" w:lineRule="auto"/>
        <w:jc w:val="both"/>
        <w:rPr>
          <w:rFonts w:cs="David"/>
          <w:b/>
          <w:bCs/>
          <w:szCs w:val="24"/>
          <w:u w:val="single"/>
          <w:rtl/>
        </w:rPr>
      </w:pPr>
      <w:r>
        <w:rPr>
          <w:rFonts w:cs="David" w:hint="cs"/>
          <w:b/>
          <w:bCs/>
          <w:szCs w:val="24"/>
          <w:u w:val="single"/>
          <w:rtl/>
        </w:rPr>
        <w:lastRenderedPageBreak/>
        <w:t>לסיכום:</w:t>
      </w:r>
    </w:p>
    <w:p w14:paraId="1C0A6ED1" w14:textId="2DC514AD" w:rsidR="004F3F24" w:rsidRDefault="004F3F24" w:rsidP="00A70019">
      <w:pPr>
        <w:pStyle w:val="a3"/>
        <w:numPr>
          <w:ilvl w:val="0"/>
          <w:numId w:val="29"/>
        </w:numPr>
        <w:spacing w:after="0" w:line="360" w:lineRule="auto"/>
        <w:ind w:left="714" w:hanging="357"/>
        <w:jc w:val="both"/>
        <w:rPr>
          <w:rFonts w:ascii="David" w:hAnsi="David" w:cs="David"/>
        </w:rPr>
      </w:pPr>
      <w:r w:rsidRPr="00585144">
        <w:rPr>
          <w:rFonts w:ascii="Times New Roman" w:eastAsia="Times New Roman" w:hAnsi="Times New Roman" w:cs="David"/>
          <w:sz w:val="24"/>
          <w:szCs w:val="24"/>
          <w:rtl/>
          <w:lang w:eastAsia="he-IL"/>
        </w:rPr>
        <w:t xml:space="preserve">אשר על כן, מתבקש בית המשפט הנכבד שלערעור להורות כמפורט ברישא לבקשה זו, לעכב את ביצועו של פסק דינו של בית המשפט הנכבד קמא במלואו </w:t>
      </w:r>
      <w:r w:rsidRPr="00585144">
        <w:rPr>
          <w:rFonts w:ascii="Times New Roman" w:eastAsia="Times New Roman" w:hAnsi="Times New Roman" w:cs="David" w:hint="cs"/>
          <w:sz w:val="24"/>
          <w:szCs w:val="24"/>
          <w:rtl/>
          <w:lang w:eastAsia="he-IL"/>
        </w:rPr>
        <w:t>ולהורות על ביטול הליכי ההוצאה לפועל</w:t>
      </w:r>
      <w:r w:rsidR="00585144" w:rsidRPr="00585144">
        <w:rPr>
          <w:rFonts w:ascii="Times New Roman" w:eastAsia="Times New Roman" w:hAnsi="Times New Roman" w:cs="David" w:hint="cs"/>
          <w:sz w:val="24"/>
          <w:szCs w:val="24"/>
          <w:rtl/>
          <w:lang w:eastAsia="he-IL"/>
        </w:rPr>
        <w:t xml:space="preserve"> במסגרת תיק הוצל"פ שמספרו 522072-08-25</w:t>
      </w:r>
      <w:r w:rsidRPr="00585144">
        <w:rPr>
          <w:rFonts w:ascii="Times New Roman" w:eastAsia="Times New Roman" w:hAnsi="Times New Roman" w:cs="David" w:hint="cs"/>
          <w:sz w:val="24"/>
          <w:szCs w:val="24"/>
          <w:rtl/>
          <w:lang w:eastAsia="he-IL"/>
        </w:rPr>
        <w:t xml:space="preserve"> שנפתח </w:t>
      </w:r>
      <w:r w:rsidR="00585144" w:rsidRPr="00585144">
        <w:rPr>
          <w:rFonts w:ascii="Times New Roman" w:eastAsia="Times New Roman" w:hAnsi="Times New Roman" w:cs="David" w:hint="cs"/>
          <w:sz w:val="24"/>
          <w:szCs w:val="24"/>
          <w:rtl/>
          <w:lang w:eastAsia="he-IL"/>
        </w:rPr>
        <w:t>כנגד</w:t>
      </w:r>
      <w:r w:rsidRPr="00585144">
        <w:rPr>
          <w:rFonts w:ascii="Times New Roman" w:eastAsia="Times New Roman" w:hAnsi="Times New Roman" w:cs="David" w:hint="cs"/>
          <w:sz w:val="24"/>
          <w:szCs w:val="24"/>
          <w:rtl/>
          <w:lang w:eastAsia="he-IL"/>
        </w:rPr>
        <w:t xml:space="preserve"> המבקשים.</w:t>
      </w:r>
    </w:p>
    <w:p w14:paraId="217B6E83" w14:textId="77777777" w:rsidR="00A70019" w:rsidRPr="00585144" w:rsidRDefault="00A70019" w:rsidP="00A70019">
      <w:pPr>
        <w:pStyle w:val="a3"/>
        <w:spacing w:after="0" w:line="360" w:lineRule="auto"/>
        <w:ind w:left="714"/>
        <w:jc w:val="both"/>
        <w:rPr>
          <w:rFonts w:ascii="David" w:hAnsi="David" w:cs="David"/>
        </w:rPr>
      </w:pPr>
    </w:p>
    <w:p w14:paraId="574A183F" w14:textId="5E0E1DF7" w:rsidR="004F3F24" w:rsidRDefault="004F3F24" w:rsidP="00A70019">
      <w:pPr>
        <w:pStyle w:val="a3"/>
        <w:numPr>
          <w:ilvl w:val="0"/>
          <w:numId w:val="29"/>
        </w:numPr>
        <w:spacing w:after="0" w:line="360" w:lineRule="auto"/>
        <w:ind w:left="714" w:hanging="357"/>
        <w:jc w:val="both"/>
        <w:rPr>
          <w:rFonts w:ascii="David" w:hAnsi="David" w:cs="David"/>
        </w:rPr>
      </w:pPr>
      <w:r w:rsidRPr="00585144">
        <w:rPr>
          <w:rFonts w:ascii="Times New Roman" w:eastAsia="Times New Roman" w:hAnsi="Times New Roman" w:cs="David"/>
          <w:sz w:val="24"/>
          <w:szCs w:val="24"/>
          <w:rtl/>
          <w:lang w:eastAsia="he-IL"/>
        </w:rPr>
        <w:t xml:space="preserve">לחלופי חילופין יתבקש בית המשפט הנכבד שלערעור לאפשר </w:t>
      </w:r>
      <w:r w:rsidRPr="00585144">
        <w:rPr>
          <w:rFonts w:ascii="Times New Roman" w:eastAsia="Times New Roman" w:hAnsi="Times New Roman" w:cs="David" w:hint="cs"/>
          <w:sz w:val="24"/>
          <w:szCs w:val="24"/>
          <w:rtl/>
          <w:lang w:eastAsia="he-IL"/>
        </w:rPr>
        <w:t>להפקיד</w:t>
      </w:r>
      <w:r w:rsidRPr="00585144">
        <w:rPr>
          <w:rFonts w:ascii="Times New Roman" w:eastAsia="Times New Roman" w:hAnsi="Times New Roman" w:cs="David"/>
          <w:sz w:val="24"/>
          <w:szCs w:val="24"/>
          <w:rtl/>
          <w:lang w:eastAsia="he-IL"/>
        </w:rPr>
        <w:t xml:space="preserve"> סך </w:t>
      </w:r>
      <w:r w:rsidRPr="00585144">
        <w:rPr>
          <w:rFonts w:ascii="Times New Roman" w:eastAsia="Times New Roman" w:hAnsi="Times New Roman" w:cs="David" w:hint="cs"/>
          <w:sz w:val="24"/>
          <w:szCs w:val="24"/>
          <w:rtl/>
          <w:lang w:eastAsia="he-IL"/>
        </w:rPr>
        <w:t>של 250,000 ₪ בקופת בית המשפט עד למתן הכרעה בערעור.</w:t>
      </w:r>
    </w:p>
    <w:p w14:paraId="0CF8CCF8" w14:textId="77777777" w:rsidR="000703E3" w:rsidRPr="00585144" w:rsidRDefault="000703E3" w:rsidP="000703E3">
      <w:pPr>
        <w:pStyle w:val="a3"/>
        <w:spacing w:after="0" w:line="360" w:lineRule="auto"/>
        <w:ind w:left="714"/>
        <w:jc w:val="both"/>
        <w:rPr>
          <w:rFonts w:ascii="David" w:hAnsi="David" w:cs="David"/>
        </w:rPr>
      </w:pPr>
    </w:p>
    <w:p w14:paraId="50911E4C" w14:textId="0F19B805" w:rsidR="004F3F24" w:rsidRPr="000703E3" w:rsidRDefault="004F3F24" w:rsidP="00A70019">
      <w:pPr>
        <w:pStyle w:val="a3"/>
        <w:numPr>
          <w:ilvl w:val="0"/>
          <w:numId w:val="29"/>
        </w:numPr>
        <w:spacing w:after="0" w:line="360" w:lineRule="auto"/>
        <w:ind w:left="714" w:hanging="357"/>
        <w:jc w:val="both"/>
        <w:rPr>
          <w:rFonts w:ascii="David" w:hAnsi="David" w:cs="David"/>
        </w:rPr>
      </w:pPr>
      <w:r w:rsidRPr="00585144">
        <w:rPr>
          <w:rFonts w:ascii="Times New Roman" w:eastAsia="Times New Roman" w:hAnsi="Times New Roman" w:cs="David"/>
          <w:sz w:val="24"/>
          <w:szCs w:val="24"/>
          <w:rtl/>
          <w:lang w:eastAsia="he-IL"/>
        </w:rPr>
        <w:t xml:space="preserve">בקשה זו איננה נתמכת בתצהיר שכן האמור בה עולה מהמסמכים המצויים בתיק בית המשפט </w:t>
      </w:r>
      <w:r w:rsidRPr="00585144">
        <w:rPr>
          <w:rFonts w:ascii="Times New Roman" w:eastAsia="Times New Roman" w:hAnsi="Times New Roman" w:cs="David" w:hint="cs"/>
          <w:sz w:val="24"/>
          <w:szCs w:val="24"/>
          <w:rtl/>
          <w:lang w:eastAsia="he-IL"/>
        </w:rPr>
        <w:t>והבקשה</w:t>
      </w:r>
      <w:r w:rsidRPr="00585144">
        <w:rPr>
          <w:rFonts w:ascii="Times New Roman" w:eastAsia="Times New Roman" w:hAnsi="Times New Roman" w:cs="David"/>
          <w:sz w:val="24"/>
          <w:szCs w:val="24"/>
          <w:rtl/>
          <w:lang w:eastAsia="he-IL"/>
        </w:rPr>
        <w:t xml:space="preserve"> נסמכת על טיעונים משפטיים</w:t>
      </w:r>
      <w:r w:rsidRPr="00585144">
        <w:rPr>
          <w:rFonts w:ascii="Times New Roman" w:eastAsia="Times New Roman" w:hAnsi="Times New Roman" w:cs="David"/>
          <w:sz w:val="24"/>
          <w:szCs w:val="24"/>
          <w:lang w:eastAsia="he-IL"/>
        </w:rPr>
        <w:t>.</w:t>
      </w:r>
    </w:p>
    <w:p w14:paraId="7827037F" w14:textId="77777777" w:rsidR="000703E3" w:rsidRPr="000703E3" w:rsidRDefault="000703E3" w:rsidP="000703E3">
      <w:pPr>
        <w:spacing w:after="0" w:line="360" w:lineRule="auto"/>
        <w:jc w:val="both"/>
        <w:rPr>
          <w:rFonts w:ascii="David" w:hAnsi="David" w:cs="David"/>
        </w:rPr>
      </w:pPr>
    </w:p>
    <w:p w14:paraId="5764E3B2" w14:textId="296A69FB" w:rsidR="004F3F24" w:rsidRPr="00585144" w:rsidRDefault="004F3F24" w:rsidP="00A70019">
      <w:pPr>
        <w:pStyle w:val="a3"/>
        <w:numPr>
          <w:ilvl w:val="0"/>
          <w:numId w:val="29"/>
        </w:numPr>
        <w:spacing w:after="0" w:line="360" w:lineRule="auto"/>
        <w:ind w:left="714" w:hanging="357"/>
        <w:jc w:val="both"/>
        <w:rPr>
          <w:rFonts w:ascii="David" w:hAnsi="David" w:cs="David"/>
        </w:rPr>
      </w:pPr>
      <w:r w:rsidRPr="00585144">
        <w:rPr>
          <w:rFonts w:ascii="Times New Roman" w:eastAsia="Times New Roman" w:hAnsi="Times New Roman" w:cs="David" w:hint="cs"/>
          <w:sz w:val="24"/>
          <w:szCs w:val="24"/>
          <w:rtl/>
          <w:lang w:eastAsia="he-IL"/>
        </w:rPr>
        <w:t>יהא זה מן הדין ומן הצדק להיעתר לבקשה.</w:t>
      </w:r>
    </w:p>
    <w:p w14:paraId="6824E3D9" w14:textId="7878DF65" w:rsidR="004F3F24" w:rsidRDefault="004F3F24" w:rsidP="004F3F24">
      <w:pPr>
        <w:pStyle w:val="a3"/>
        <w:spacing w:after="0" w:line="360" w:lineRule="auto"/>
        <w:jc w:val="both"/>
        <w:rPr>
          <w:rFonts w:ascii="Times New Roman" w:eastAsia="Times New Roman" w:hAnsi="Times New Roman" w:cs="David"/>
          <w:sz w:val="24"/>
          <w:szCs w:val="24"/>
          <w:rtl/>
          <w:lang w:eastAsia="he-IL"/>
        </w:rPr>
      </w:pPr>
    </w:p>
    <w:p w14:paraId="0316082D" w14:textId="77777777" w:rsidR="00585144" w:rsidRDefault="00585144" w:rsidP="004F3F24">
      <w:pPr>
        <w:pStyle w:val="a3"/>
        <w:spacing w:after="0" w:line="360" w:lineRule="auto"/>
        <w:jc w:val="both"/>
        <w:rPr>
          <w:rFonts w:ascii="Times New Roman" w:eastAsia="Times New Roman" w:hAnsi="Times New Roman" w:cs="David"/>
          <w:sz w:val="24"/>
          <w:szCs w:val="24"/>
          <w:rtl/>
          <w:lang w:eastAsia="he-IL"/>
        </w:rPr>
      </w:pPr>
    </w:p>
    <w:p w14:paraId="7D3979AF" w14:textId="77777777" w:rsidR="00585144" w:rsidRDefault="00585144" w:rsidP="004F3F24">
      <w:pPr>
        <w:pStyle w:val="a3"/>
        <w:spacing w:after="0" w:line="360" w:lineRule="auto"/>
        <w:jc w:val="both"/>
        <w:rPr>
          <w:rFonts w:ascii="Times New Roman" w:eastAsia="Times New Roman" w:hAnsi="Times New Roman" w:cs="David"/>
          <w:sz w:val="24"/>
          <w:szCs w:val="24"/>
          <w:rtl/>
          <w:lang w:eastAsia="he-IL"/>
        </w:rPr>
      </w:pPr>
    </w:p>
    <w:p w14:paraId="51E25F36" w14:textId="77777777" w:rsidR="00585144" w:rsidRDefault="00585144" w:rsidP="004F3F24">
      <w:pPr>
        <w:pStyle w:val="a3"/>
        <w:spacing w:after="0" w:line="360" w:lineRule="auto"/>
        <w:jc w:val="both"/>
        <w:rPr>
          <w:rFonts w:ascii="Times New Roman" w:eastAsia="Times New Roman" w:hAnsi="Times New Roman" w:cs="David"/>
          <w:sz w:val="24"/>
          <w:szCs w:val="24"/>
          <w:rtl/>
          <w:lang w:eastAsia="he-IL"/>
        </w:rPr>
      </w:pPr>
    </w:p>
    <w:p w14:paraId="5C0E7F44" w14:textId="77777777" w:rsidR="00585144" w:rsidRPr="004F3F24" w:rsidRDefault="00585144" w:rsidP="004F3F24">
      <w:pPr>
        <w:pStyle w:val="a3"/>
        <w:spacing w:after="0" w:line="360" w:lineRule="auto"/>
        <w:jc w:val="both"/>
        <w:rPr>
          <w:rFonts w:ascii="Times New Roman" w:eastAsia="Times New Roman" w:hAnsi="Times New Roman" w:cs="David"/>
          <w:sz w:val="24"/>
          <w:szCs w:val="24"/>
          <w:lang w:eastAsia="he-IL"/>
        </w:rPr>
      </w:pPr>
    </w:p>
    <w:p w14:paraId="694D6C02" w14:textId="657C56C5" w:rsidR="00585144" w:rsidRPr="00AA57AF" w:rsidRDefault="00585144" w:rsidP="00585144">
      <w:pPr>
        <w:spacing w:line="360" w:lineRule="auto"/>
        <w:ind w:left="5760"/>
        <w:jc w:val="both"/>
        <w:rPr>
          <w:rFonts w:cs="David"/>
          <w:b/>
          <w:bCs/>
          <w:sz w:val="24"/>
          <w:szCs w:val="24"/>
          <w:rtl/>
        </w:rPr>
      </w:pPr>
      <w:r w:rsidRPr="003775B0">
        <w:rPr>
          <w:rFonts w:cs="David" w:hint="cs"/>
          <w:sz w:val="24"/>
          <w:szCs w:val="24"/>
          <w:rtl/>
        </w:rPr>
        <w:t xml:space="preserve">________________    </w:t>
      </w:r>
      <w:r w:rsidRPr="00AA57AF">
        <w:rPr>
          <w:rFonts w:cs="David" w:hint="cs"/>
          <w:b/>
          <w:bCs/>
          <w:sz w:val="24"/>
          <w:szCs w:val="24"/>
          <w:rtl/>
        </w:rPr>
        <w:t>אריאל פרייברג, עו"ד</w:t>
      </w:r>
    </w:p>
    <w:p w14:paraId="5A3582C9" w14:textId="6E19A69E" w:rsidR="00585144" w:rsidRPr="00AA57AF" w:rsidRDefault="00585144" w:rsidP="00585144">
      <w:pPr>
        <w:spacing w:line="360" w:lineRule="auto"/>
        <w:ind w:left="2880" w:firstLine="720"/>
        <w:rPr>
          <w:rFonts w:cs="David"/>
          <w:b/>
          <w:bCs/>
          <w:sz w:val="24"/>
          <w:szCs w:val="24"/>
        </w:rPr>
      </w:pPr>
      <w:r w:rsidRPr="00AA57AF">
        <w:rPr>
          <w:rFonts w:cs="David" w:hint="cs"/>
          <w:b/>
          <w:bCs/>
          <w:sz w:val="24"/>
          <w:szCs w:val="24"/>
          <w:rtl/>
        </w:rPr>
        <w:t xml:space="preserve">      </w:t>
      </w:r>
      <w:r w:rsidRPr="00AA57AF">
        <w:rPr>
          <w:rFonts w:cs="David" w:hint="cs"/>
          <w:b/>
          <w:bCs/>
          <w:sz w:val="24"/>
          <w:szCs w:val="24"/>
          <w:rtl/>
        </w:rPr>
        <w:tab/>
      </w:r>
      <w:r w:rsidRPr="00AA57AF">
        <w:rPr>
          <w:rFonts w:cs="David" w:hint="cs"/>
          <w:b/>
          <w:bCs/>
          <w:sz w:val="24"/>
          <w:szCs w:val="24"/>
          <w:rtl/>
        </w:rPr>
        <w:tab/>
      </w:r>
      <w:r w:rsidRPr="00AA57AF">
        <w:rPr>
          <w:rFonts w:cs="David" w:hint="cs"/>
          <w:b/>
          <w:bCs/>
          <w:sz w:val="24"/>
          <w:szCs w:val="24"/>
          <w:rtl/>
        </w:rPr>
        <w:tab/>
        <w:t xml:space="preserve">   ב"כ </w:t>
      </w:r>
      <w:r>
        <w:rPr>
          <w:rFonts w:cs="David" w:hint="cs"/>
          <w:b/>
          <w:bCs/>
          <w:sz w:val="24"/>
          <w:szCs w:val="24"/>
          <w:rtl/>
        </w:rPr>
        <w:t>המבקשים</w:t>
      </w:r>
    </w:p>
    <w:p w14:paraId="0573249F" w14:textId="46E49319" w:rsidR="00621652" w:rsidRPr="00585144" w:rsidRDefault="00621652" w:rsidP="00621652">
      <w:pPr>
        <w:spacing w:after="0" w:line="240" w:lineRule="auto"/>
        <w:jc w:val="both"/>
        <w:rPr>
          <w:rFonts w:cs="David"/>
          <w:sz w:val="24"/>
          <w:szCs w:val="24"/>
          <w:rtl/>
        </w:rPr>
      </w:pPr>
    </w:p>
    <w:sectPr w:rsidR="00621652" w:rsidRPr="00585144" w:rsidSect="006B2DF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43A92"/>
    <w:multiLevelType w:val="hybridMultilevel"/>
    <w:tmpl w:val="5C56C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50684"/>
    <w:multiLevelType w:val="hybridMultilevel"/>
    <w:tmpl w:val="CBB695F0"/>
    <w:lvl w:ilvl="0" w:tplc="5B58DB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3C1624"/>
    <w:multiLevelType w:val="hybridMultilevel"/>
    <w:tmpl w:val="7A22F7C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73554"/>
    <w:multiLevelType w:val="hybridMultilevel"/>
    <w:tmpl w:val="2A5C5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3F4770"/>
    <w:multiLevelType w:val="hybridMultilevel"/>
    <w:tmpl w:val="33EE8F56"/>
    <w:lvl w:ilvl="0" w:tplc="72409968">
      <w:start w:val="1"/>
      <w:numFmt w:val="hebrew1"/>
      <w:lvlText w:val="%1."/>
      <w:lvlJc w:val="left"/>
      <w:pPr>
        <w:ind w:left="720" w:hanging="360"/>
      </w:pPr>
      <w:rPr>
        <w:rFonts w:ascii="Times New Roman" w:eastAsia="Times New Roman" w:hAnsi="Times New Roman" w:cs="David"/>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F77FC5"/>
    <w:multiLevelType w:val="hybridMultilevel"/>
    <w:tmpl w:val="0720CFD6"/>
    <w:lvl w:ilvl="0" w:tplc="823A68F0">
      <w:start w:val="1"/>
      <w:numFmt w:val="decimal"/>
      <w:lvlText w:val="%1."/>
      <w:lvlJc w:val="left"/>
      <w:pPr>
        <w:tabs>
          <w:tab w:val="num" w:pos="360"/>
        </w:tabs>
        <w:ind w:left="357" w:right="357" w:hanging="357"/>
      </w:pPr>
      <w:rPr>
        <w:rFonts w:hint="default"/>
      </w:rPr>
    </w:lvl>
    <w:lvl w:ilvl="1" w:tplc="BC4419B4">
      <w:start w:val="1"/>
      <w:numFmt w:val="hebrew1"/>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15:restartNumberingAfterBreak="0">
    <w:nsid w:val="30F32844"/>
    <w:multiLevelType w:val="hybridMultilevel"/>
    <w:tmpl w:val="45483258"/>
    <w:lvl w:ilvl="0" w:tplc="D90887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5A026E"/>
    <w:multiLevelType w:val="hybridMultilevel"/>
    <w:tmpl w:val="2A9E522E"/>
    <w:lvl w:ilvl="0" w:tplc="E60616A6">
      <w:numFmt w:val="bullet"/>
      <w:lvlText w:val="-"/>
      <w:lvlJc w:val="left"/>
      <w:pPr>
        <w:ind w:left="2520" w:hanging="360"/>
      </w:pPr>
      <w:rPr>
        <w:rFonts w:asciiTheme="minorHAnsi" w:eastAsiaTheme="minorHAnsi" w:hAnsiTheme="minorHAnsi" w:cs="David"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320C3CB6"/>
    <w:multiLevelType w:val="hybridMultilevel"/>
    <w:tmpl w:val="5F92EEA0"/>
    <w:lvl w:ilvl="0" w:tplc="4962939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7E5620"/>
    <w:multiLevelType w:val="hybridMultilevel"/>
    <w:tmpl w:val="16342426"/>
    <w:lvl w:ilvl="0" w:tplc="ED6A8F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49E49C8"/>
    <w:multiLevelType w:val="hybridMultilevel"/>
    <w:tmpl w:val="BD7253E2"/>
    <w:lvl w:ilvl="0" w:tplc="8D9C00C4">
      <w:start w:val="12"/>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38491AAD"/>
    <w:multiLevelType w:val="hybridMultilevel"/>
    <w:tmpl w:val="314444CE"/>
    <w:lvl w:ilvl="0" w:tplc="19DC9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452F9"/>
    <w:multiLevelType w:val="hybridMultilevel"/>
    <w:tmpl w:val="BA48E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B95734"/>
    <w:multiLevelType w:val="hybridMultilevel"/>
    <w:tmpl w:val="4E78B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C34C90"/>
    <w:multiLevelType w:val="hybridMultilevel"/>
    <w:tmpl w:val="BA8C0BCE"/>
    <w:lvl w:ilvl="0" w:tplc="5360163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EF5E13"/>
    <w:multiLevelType w:val="hybridMultilevel"/>
    <w:tmpl w:val="C3F074F2"/>
    <w:lvl w:ilvl="0" w:tplc="76D8D76C">
      <w:start w:val="4"/>
      <w:numFmt w:val="bullet"/>
      <w:lvlText w:val="-"/>
      <w:lvlJc w:val="left"/>
      <w:pPr>
        <w:ind w:left="1800" w:hanging="360"/>
      </w:pPr>
      <w:rPr>
        <w:rFonts w:asciiTheme="minorHAnsi" w:eastAsiaTheme="minorHAnsi" w:hAnsiTheme="minorHAnsi"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5A92D0F"/>
    <w:multiLevelType w:val="hybridMultilevel"/>
    <w:tmpl w:val="A9327A76"/>
    <w:lvl w:ilvl="0" w:tplc="9F10B78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384005"/>
    <w:multiLevelType w:val="multilevel"/>
    <w:tmpl w:val="878EDC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784029"/>
    <w:multiLevelType w:val="multilevel"/>
    <w:tmpl w:val="5F56CAAA"/>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B125C3"/>
    <w:multiLevelType w:val="hybridMultilevel"/>
    <w:tmpl w:val="ABAEC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BD7E32"/>
    <w:multiLevelType w:val="hybridMultilevel"/>
    <w:tmpl w:val="9EDAAE4C"/>
    <w:lvl w:ilvl="0" w:tplc="3CC0F8C4">
      <w:start w:val="1"/>
      <w:numFmt w:val="decimal"/>
      <w:lvlText w:val="%1."/>
      <w:lvlJc w:val="left"/>
      <w:pPr>
        <w:ind w:left="720" w:hanging="360"/>
      </w:pPr>
      <w:rPr>
        <w:rFonts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8D083B"/>
    <w:multiLevelType w:val="hybridMultilevel"/>
    <w:tmpl w:val="A0185ECA"/>
    <w:lvl w:ilvl="0" w:tplc="D8C0E932">
      <w:start w:val="1"/>
      <w:numFmt w:val="decimal"/>
      <w:lvlText w:val="%1."/>
      <w:lvlJc w:val="left"/>
      <w:pPr>
        <w:ind w:left="720" w:hanging="360"/>
      </w:pPr>
      <w:rPr>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4D94E8A"/>
    <w:multiLevelType w:val="hybridMultilevel"/>
    <w:tmpl w:val="C58C1DA6"/>
    <w:lvl w:ilvl="0" w:tplc="D8AE4AE4">
      <w:start w:val="1"/>
      <w:numFmt w:val="decimal"/>
      <w:lvlText w:val="%1."/>
      <w:lvlJc w:val="left"/>
      <w:pPr>
        <w:ind w:left="644"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137894"/>
    <w:multiLevelType w:val="hybridMultilevel"/>
    <w:tmpl w:val="50DC9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195948"/>
    <w:multiLevelType w:val="hybridMultilevel"/>
    <w:tmpl w:val="8CD68DD6"/>
    <w:lvl w:ilvl="0" w:tplc="0F80193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6708CD"/>
    <w:multiLevelType w:val="hybridMultilevel"/>
    <w:tmpl w:val="83EED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F54C3F"/>
    <w:multiLevelType w:val="multilevel"/>
    <w:tmpl w:val="09102BE4"/>
    <w:lvl w:ilvl="0">
      <w:start w:val="1"/>
      <w:numFmt w:val="decimal"/>
      <w:lvlText w:val="%1."/>
      <w:lvlJc w:val="left"/>
      <w:pPr>
        <w:tabs>
          <w:tab w:val="num" w:pos="720"/>
        </w:tabs>
        <w:ind w:left="720" w:hanging="360"/>
      </w:pPr>
    </w:lvl>
    <w:lvl w:ilvl="1">
      <w:start w:val="1"/>
      <w:numFmt w:val="hebrew1"/>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9B197C"/>
    <w:multiLevelType w:val="hybridMultilevel"/>
    <w:tmpl w:val="C804C640"/>
    <w:lvl w:ilvl="0" w:tplc="401A81AA">
      <w:numFmt w:val="bullet"/>
      <w:lvlText w:val="-"/>
      <w:lvlJc w:val="left"/>
      <w:pPr>
        <w:ind w:left="720" w:hanging="360"/>
      </w:pPr>
      <w:rPr>
        <w:rFonts w:asciiTheme="minorHAnsi" w:eastAsiaTheme="minorHAnsi" w:hAnsiTheme="minorHAns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891E7A"/>
    <w:multiLevelType w:val="hybridMultilevel"/>
    <w:tmpl w:val="AF90C59A"/>
    <w:lvl w:ilvl="0" w:tplc="D22EA5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56495778">
    <w:abstractNumId w:val="27"/>
  </w:num>
  <w:num w:numId="2" w16cid:durableId="1680161995">
    <w:abstractNumId w:val="15"/>
  </w:num>
  <w:num w:numId="3" w16cid:durableId="580212481">
    <w:abstractNumId w:val="12"/>
  </w:num>
  <w:num w:numId="4" w16cid:durableId="1240140229">
    <w:abstractNumId w:val="22"/>
  </w:num>
  <w:num w:numId="5" w16cid:durableId="773474032">
    <w:abstractNumId w:val="23"/>
  </w:num>
  <w:num w:numId="6" w16cid:durableId="6436564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0160766">
    <w:abstractNumId w:val="14"/>
  </w:num>
  <w:num w:numId="8" w16cid:durableId="1389722380">
    <w:abstractNumId w:val="8"/>
  </w:num>
  <w:num w:numId="9" w16cid:durableId="931933533">
    <w:abstractNumId w:val="3"/>
  </w:num>
  <w:num w:numId="10" w16cid:durableId="1131899430">
    <w:abstractNumId w:val="13"/>
  </w:num>
  <w:num w:numId="11" w16cid:durableId="225380617">
    <w:abstractNumId w:val="0"/>
  </w:num>
  <w:num w:numId="12" w16cid:durableId="310601588">
    <w:abstractNumId w:val="24"/>
  </w:num>
  <w:num w:numId="13" w16cid:durableId="886065670">
    <w:abstractNumId w:val="7"/>
  </w:num>
  <w:num w:numId="14" w16cid:durableId="969894660">
    <w:abstractNumId w:val="1"/>
  </w:num>
  <w:num w:numId="15" w16cid:durableId="1331329218">
    <w:abstractNumId w:val="4"/>
  </w:num>
  <w:num w:numId="16" w16cid:durableId="1603874165">
    <w:abstractNumId w:val="19"/>
  </w:num>
  <w:num w:numId="17" w16cid:durableId="1137603994">
    <w:abstractNumId w:val="11"/>
  </w:num>
  <w:num w:numId="18" w16cid:durableId="1046486973">
    <w:abstractNumId w:val="6"/>
  </w:num>
  <w:num w:numId="19" w16cid:durableId="2021814074">
    <w:abstractNumId w:val="2"/>
  </w:num>
  <w:num w:numId="20" w16cid:durableId="859321099">
    <w:abstractNumId w:val="9"/>
  </w:num>
  <w:num w:numId="21" w16cid:durableId="838423489">
    <w:abstractNumId w:val="20"/>
  </w:num>
  <w:num w:numId="22" w16cid:durableId="275406853">
    <w:abstractNumId w:val="16"/>
  </w:num>
  <w:num w:numId="23" w16cid:durableId="1077290717">
    <w:abstractNumId w:val="28"/>
  </w:num>
  <w:num w:numId="24" w16cid:durableId="1448039217">
    <w:abstractNumId w:val="5"/>
  </w:num>
  <w:num w:numId="25" w16cid:durableId="1624920859">
    <w:abstractNumId w:val="10"/>
  </w:num>
  <w:num w:numId="26" w16cid:durableId="2036038423">
    <w:abstractNumId w:val="26"/>
  </w:num>
  <w:num w:numId="27" w16cid:durableId="1250889917">
    <w:abstractNumId w:val="18"/>
  </w:num>
  <w:num w:numId="28" w16cid:durableId="1070738331">
    <w:abstractNumId w:val="17"/>
  </w:num>
  <w:num w:numId="29" w16cid:durableId="7922892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4E2C"/>
    <w:rsid w:val="000033C0"/>
    <w:rsid w:val="000212A0"/>
    <w:rsid w:val="00027D1C"/>
    <w:rsid w:val="000371B9"/>
    <w:rsid w:val="00047282"/>
    <w:rsid w:val="00047DD4"/>
    <w:rsid w:val="00050BD6"/>
    <w:rsid w:val="00051F4B"/>
    <w:rsid w:val="000610E1"/>
    <w:rsid w:val="00065BC8"/>
    <w:rsid w:val="000703E3"/>
    <w:rsid w:val="00077F99"/>
    <w:rsid w:val="00092B83"/>
    <w:rsid w:val="000A6F97"/>
    <w:rsid w:val="000B6288"/>
    <w:rsid w:val="000C0A80"/>
    <w:rsid w:val="000C4650"/>
    <w:rsid w:val="000C7681"/>
    <w:rsid w:val="000D51D5"/>
    <w:rsid w:val="000F0C9E"/>
    <w:rsid w:val="000F0F6D"/>
    <w:rsid w:val="000F491B"/>
    <w:rsid w:val="000F57A8"/>
    <w:rsid w:val="00114927"/>
    <w:rsid w:val="00127276"/>
    <w:rsid w:val="00152E09"/>
    <w:rsid w:val="00153E39"/>
    <w:rsid w:val="001543EB"/>
    <w:rsid w:val="0016116E"/>
    <w:rsid w:val="0016290D"/>
    <w:rsid w:val="00165372"/>
    <w:rsid w:val="00167315"/>
    <w:rsid w:val="0017035D"/>
    <w:rsid w:val="00171D3D"/>
    <w:rsid w:val="001739CD"/>
    <w:rsid w:val="00191DF5"/>
    <w:rsid w:val="001979DF"/>
    <w:rsid w:val="001B3F7C"/>
    <w:rsid w:val="001B45BD"/>
    <w:rsid w:val="001B5B8B"/>
    <w:rsid w:val="001C45D9"/>
    <w:rsid w:val="001C4C11"/>
    <w:rsid w:val="001C6092"/>
    <w:rsid w:val="001D112C"/>
    <w:rsid w:val="001D3229"/>
    <w:rsid w:val="001D3A86"/>
    <w:rsid w:val="001E428F"/>
    <w:rsid w:val="001F4994"/>
    <w:rsid w:val="002022C0"/>
    <w:rsid w:val="00210490"/>
    <w:rsid w:val="00210F2F"/>
    <w:rsid w:val="002211EB"/>
    <w:rsid w:val="00235BF1"/>
    <w:rsid w:val="00240DE9"/>
    <w:rsid w:val="002432FC"/>
    <w:rsid w:val="00244AD7"/>
    <w:rsid w:val="00254665"/>
    <w:rsid w:val="00271B4D"/>
    <w:rsid w:val="00273DF1"/>
    <w:rsid w:val="00296633"/>
    <w:rsid w:val="0029727B"/>
    <w:rsid w:val="00297C71"/>
    <w:rsid w:val="002A032E"/>
    <w:rsid w:val="002B72F6"/>
    <w:rsid w:val="002B7727"/>
    <w:rsid w:val="002D0964"/>
    <w:rsid w:val="002E19FB"/>
    <w:rsid w:val="0031590A"/>
    <w:rsid w:val="0033342A"/>
    <w:rsid w:val="00343F9C"/>
    <w:rsid w:val="00347594"/>
    <w:rsid w:val="0035464E"/>
    <w:rsid w:val="00384C3C"/>
    <w:rsid w:val="00385515"/>
    <w:rsid w:val="00391EB1"/>
    <w:rsid w:val="003A72D4"/>
    <w:rsid w:val="003B2A07"/>
    <w:rsid w:val="003E37CC"/>
    <w:rsid w:val="003F01DD"/>
    <w:rsid w:val="003F0991"/>
    <w:rsid w:val="003F6ABD"/>
    <w:rsid w:val="003F6EA8"/>
    <w:rsid w:val="004063C5"/>
    <w:rsid w:val="0042501C"/>
    <w:rsid w:val="00430BB1"/>
    <w:rsid w:val="004427A5"/>
    <w:rsid w:val="00451141"/>
    <w:rsid w:val="00457C28"/>
    <w:rsid w:val="004637F2"/>
    <w:rsid w:val="00467271"/>
    <w:rsid w:val="00470688"/>
    <w:rsid w:val="00477ABA"/>
    <w:rsid w:val="004929F6"/>
    <w:rsid w:val="00492D15"/>
    <w:rsid w:val="00495B20"/>
    <w:rsid w:val="004A70FD"/>
    <w:rsid w:val="004B6F2A"/>
    <w:rsid w:val="004C0408"/>
    <w:rsid w:val="004C2C53"/>
    <w:rsid w:val="004E3D2C"/>
    <w:rsid w:val="004F3F24"/>
    <w:rsid w:val="00517C9D"/>
    <w:rsid w:val="00521CFC"/>
    <w:rsid w:val="00531210"/>
    <w:rsid w:val="00536C46"/>
    <w:rsid w:val="005539FA"/>
    <w:rsid w:val="005611B2"/>
    <w:rsid w:val="00563A6C"/>
    <w:rsid w:val="00570078"/>
    <w:rsid w:val="00585144"/>
    <w:rsid w:val="00592027"/>
    <w:rsid w:val="00595072"/>
    <w:rsid w:val="005A1FBF"/>
    <w:rsid w:val="005A315A"/>
    <w:rsid w:val="005A6E8A"/>
    <w:rsid w:val="005A7717"/>
    <w:rsid w:val="005B0B81"/>
    <w:rsid w:val="005B4E37"/>
    <w:rsid w:val="005C36BE"/>
    <w:rsid w:val="005C56FF"/>
    <w:rsid w:val="005C6214"/>
    <w:rsid w:val="005C7911"/>
    <w:rsid w:val="005D7EC5"/>
    <w:rsid w:val="005E097E"/>
    <w:rsid w:val="005E4C2B"/>
    <w:rsid w:val="005F0C6B"/>
    <w:rsid w:val="005F4290"/>
    <w:rsid w:val="006000A3"/>
    <w:rsid w:val="00621652"/>
    <w:rsid w:val="0062303D"/>
    <w:rsid w:val="00623918"/>
    <w:rsid w:val="00625A4E"/>
    <w:rsid w:val="006310A0"/>
    <w:rsid w:val="00635C38"/>
    <w:rsid w:val="0064756E"/>
    <w:rsid w:val="00647B9C"/>
    <w:rsid w:val="00652637"/>
    <w:rsid w:val="00656016"/>
    <w:rsid w:val="00656CB9"/>
    <w:rsid w:val="006615DE"/>
    <w:rsid w:val="00684EAE"/>
    <w:rsid w:val="006919E9"/>
    <w:rsid w:val="00695517"/>
    <w:rsid w:val="006A61BC"/>
    <w:rsid w:val="006B2A29"/>
    <w:rsid w:val="006B2DF1"/>
    <w:rsid w:val="006C3C70"/>
    <w:rsid w:val="006E4E2C"/>
    <w:rsid w:val="0070336D"/>
    <w:rsid w:val="00704269"/>
    <w:rsid w:val="00732AC0"/>
    <w:rsid w:val="0073462E"/>
    <w:rsid w:val="00735E77"/>
    <w:rsid w:val="00757B96"/>
    <w:rsid w:val="007749BC"/>
    <w:rsid w:val="00782B10"/>
    <w:rsid w:val="00783DD7"/>
    <w:rsid w:val="00785F3C"/>
    <w:rsid w:val="007B41F0"/>
    <w:rsid w:val="007B7BC8"/>
    <w:rsid w:val="007C776C"/>
    <w:rsid w:val="007D73E7"/>
    <w:rsid w:val="007E7E28"/>
    <w:rsid w:val="007F24FA"/>
    <w:rsid w:val="00836E9D"/>
    <w:rsid w:val="008375EC"/>
    <w:rsid w:val="00843D4C"/>
    <w:rsid w:val="00846C07"/>
    <w:rsid w:val="00856A2A"/>
    <w:rsid w:val="00860373"/>
    <w:rsid w:val="008631AA"/>
    <w:rsid w:val="0086549C"/>
    <w:rsid w:val="00866FC6"/>
    <w:rsid w:val="00872F04"/>
    <w:rsid w:val="00894D18"/>
    <w:rsid w:val="008963FD"/>
    <w:rsid w:val="008B3708"/>
    <w:rsid w:val="008B73E1"/>
    <w:rsid w:val="008C2BAE"/>
    <w:rsid w:val="008C601B"/>
    <w:rsid w:val="008C6244"/>
    <w:rsid w:val="008F5BCB"/>
    <w:rsid w:val="009056D2"/>
    <w:rsid w:val="00910344"/>
    <w:rsid w:val="009136D3"/>
    <w:rsid w:val="009168DC"/>
    <w:rsid w:val="00933538"/>
    <w:rsid w:val="0093771C"/>
    <w:rsid w:val="0094220E"/>
    <w:rsid w:val="00955432"/>
    <w:rsid w:val="00964B16"/>
    <w:rsid w:val="00972553"/>
    <w:rsid w:val="00973D10"/>
    <w:rsid w:val="00980322"/>
    <w:rsid w:val="00982284"/>
    <w:rsid w:val="0098701C"/>
    <w:rsid w:val="00990A15"/>
    <w:rsid w:val="00994963"/>
    <w:rsid w:val="00996732"/>
    <w:rsid w:val="009B0E86"/>
    <w:rsid w:val="009D08C0"/>
    <w:rsid w:val="009D3A75"/>
    <w:rsid w:val="009D5498"/>
    <w:rsid w:val="009F4E22"/>
    <w:rsid w:val="009F55C6"/>
    <w:rsid w:val="00A048F9"/>
    <w:rsid w:val="00A152A2"/>
    <w:rsid w:val="00A34532"/>
    <w:rsid w:val="00A34AC3"/>
    <w:rsid w:val="00A34D7A"/>
    <w:rsid w:val="00A42E85"/>
    <w:rsid w:val="00A4437D"/>
    <w:rsid w:val="00A52141"/>
    <w:rsid w:val="00A66560"/>
    <w:rsid w:val="00A70019"/>
    <w:rsid w:val="00A918A5"/>
    <w:rsid w:val="00AA3026"/>
    <w:rsid w:val="00AA65E1"/>
    <w:rsid w:val="00AA6815"/>
    <w:rsid w:val="00AA7310"/>
    <w:rsid w:val="00AB3F44"/>
    <w:rsid w:val="00AB5D41"/>
    <w:rsid w:val="00AC0B9D"/>
    <w:rsid w:val="00AC1633"/>
    <w:rsid w:val="00AD0ED8"/>
    <w:rsid w:val="00B02D90"/>
    <w:rsid w:val="00B15029"/>
    <w:rsid w:val="00B227D4"/>
    <w:rsid w:val="00B23414"/>
    <w:rsid w:val="00B23F55"/>
    <w:rsid w:val="00B266A9"/>
    <w:rsid w:val="00B70436"/>
    <w:rsid w:val="00B87F47"/>
    <w:rsid w:val="00B96ED9"/>
    <w:rsid w:val="00BA208A"/>
    <w:rsid w:val="00BB01E3"/>
    <w:rsid w:val="00BB4ACF"/>
    <w:rsid w:val="00BC0D17"/>
    <w:rsid w:val="00BC6F04"/>
    <w:rsid w:val="00BC7513"/>
    <w:rsid w:val="00BD4F5E"/>
    <w:rsid w:val="00BE2566"/>
    <w:rsid w:val="00BF1C13"/>
    <w:rsid w:val="00C12D94"/>
    <w:rsid w:val="00C23BEF"/>
    <w:rsid w:val="00C3700E"/>
    <w:rsid w:val="00C41EF0"/>
    <w:rsid w:val="00C458FE"/>
    <w:rsid w:val="00C56612"/>
    <w:rsid w:val="00C9040D"/>
    <w:rsid w:val="00C96DFE"/>
    <w:rsid w:val="00CA1EB3"/>
    <w:rsid w:val="00CB1464"/>
    <w:rsid w:val="00CC4454"/>
    <w:rsid w:val="00CC74C3"/>
    <w:rsid w:val="00CD122C"/>
    <w:rsid w:val="00CD4CA4"/>
    <w:rsid w:val="00CD5229"/>
    <w:rsid w:val="00CF177E"/>
    <w:rsid w:val="00CF17CC"/>
    <w:rsid w:val="00D00EB7"/>
    <w:rsid w:val="00D02059"/>
    <w:rsid w:val="00D2135D"/>
    <w:rsid w:val="00D3754D"/>
    <w:rsid w:val="00D37FE3"/>
    <w:rsid w:val="00D74FAF"/>
    <w:rsid w:val="00D8608F"/>
    <w:rsid w:val="00D960CC"/>
    <w:rsid w:val="00DA484B"/>
    <w:rsid w:val="00DA7C53"/>
    <w:rsid w:val="00DB17A3"/>
    <w:rsid w:val="00DB3457"/>
    <w:rsid w:val="00DD4CDB"/>
    <w:rsid w:val="00DE16C0"/>
    <w:rsid w:val="00DF1D83"/>
    <w:rsid w:val="00E06F09"/>
    <w:rsid w:val="00E2000C"/>
    <w:rsid w:val="00E20DFE"/>
    <w:rsid w:val="00E238CC"/>
    <w:rsid w:val="00E429D0"/>
    <w:rsid w:val="00E435DD"/>
    <w:rsid w:val="00E4601D"/>
    <w:rsid w:val="00E4605A"/>
    <w:rsid w:val="00E509CF"/>
    <w:rsid w:val="00E71BAF"/>
    <w:rsid w:val="00E874A4"/>
    <w:rsid w:val="00EA46A3"/>
    <w:rsid w:val="00ED52D8"/>
    <w:rsid w:val="00ED6183"/>
    <w:rsid w:val="00ED7174"/>
    <w:rsid w:val="00EE0A0E"/>
    <w:rsid w:val="00EE4FDF"/>
    <w:rsid w:val="00EF112F"/>
    <w:rsid w:val="00EF2CFC"/>
    <w:rsid w:val="00F10386"/>
    <w:rsid w:val="00F30C58"/>
    <w:rsid w:val="00F42635"/>
    <w:rsid w:val="00F56489"/>
    <w:rsid w:val="00FA77EF"/>
    <w:rsid w:val="00FB2AB2"/>
    <w:rsid w:val="00FB6255"/>
    <w:rsid w:val="00FC3FF7"/>
    <w:rsid w:val="00FD1B0A"/>
    <w:rsid w:val="00FD3FC9"/>
    <w:rsid w:val="00FF68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0DBE7"/>
  <w15:docId w15:val="{24E827B2-B48F-40CA-8428-2970B30E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7BC8"/>
    <w:pPr>
      <w:ind w:left="720"/>
      <w:contextualSpacing/>
    </w:pPr>
  </w:style>
  <w:style w:type="paragraph" w:styleId="a4">
    <w:name w:val="No Spacing"/>
    <w:uiPriority w:val="1"/>
    <w:qFormat/>
    <w:rsid w:val="00625A4E"/>
    <w:pPr>
      <w:bidi/>
      <w:spacing w:after="0" w:line="240" w:lineRule="auto"/>
    </w:pPr>
  </w:style>
  <w:style w:type="table" w:styleId="a5">
    <w:name w:val="Table Grid"/>
    <w:basedOn w:val="a1"/>
    <w:uiPriority w:val="59"/>
    <w:rsid w:val="00625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25A4E"/>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625A4E"/>
    <w:rPr>
      <w:rFonts w:ascii="Tahoma" w:hAnsi="Tahoma" w:cs="Tahoma"/>
      <w:sz w:val="16"/>
      <w:szCs w:val="16"/>
    </w:rPr>
  </w:style>
  <w:style w:type="character" w:styleId="Hyperlink">
    <w:name w:val="Hyperlink"/>
    <w:basedOn w:val="a0"/>
    <w:uiPriority w:val="99"/>
    <w:unhideWhenUsed/>
    <w:rsid w:val="00C9040D"/>
    <w:rPr>
      <w:color w:val="0000FF" w:themeColor="hyperlink"/>
      <w:u w:val="single"/>
    </w:rPr>
  </w:style>
  <w:style w:type="paragraph" w:styleId="NormalWeb">
    <w:name w:val="Normal (Web)"/>
    <w:basedOn w:val="a"/>
    <w:uiPriority w:val="99"/>
    <w:semiHidden/>
    <w:unhideWhenUsed/>
    <w:rsid w:val="00872F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6119">
      <w:bodyDiv w:val="1"/>
      <w:marLeft w:val="0"/>
      <w:marRight w:val="0"/>
      <w:marTop w:val="0"/>
      <w:marBottom w:val="0"/>
      <w:divBdr>
        <w:top w:val="none" w:sz="0" w:space="0" w:color="auto"/>
        <w:left w:val="none" w:sz="0" w:space="0" w:color="auto"/>
        <w:bottom w:val="none" w:sz="0" w:space="0" w:color="auto"/>
        <w:right w:val="none" w:sz="0" w:space="0" w:color="auto"/>
      </w:divBdr>
    </w:div>
    <w:div w:id="183240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ffice@freiberg-law.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02FD2-443E-47B1-B7C3-3DCFEE67A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6</Pages>
  <Words>1452</Words>
  <Characters>7261</Characters>
  <Application>Microsoft Office Word</Application>
  <DocSecurity>0</DocSecurity>
  <Lines>60</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הודעה על עיכוב ביצוע</vt:lpstr>
      <vt:lpstr>תצהיר בסדר דין מהיר </vt:lpstr>
    </vt:vector>
  </TitlesOfParts>
  <Manager>קמין - סילש, משרד עו"ד </Manager>
  <Company>איילון חברה לביטוח בע"מ</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הודעה על עיכוב ביצוע</dc:title>
  <dc:subject>15/1929</dc:subject>
  <dc:creator>G741980-V1</dc:creator>
  <cp:keywords>M:\commit_docs\15\01929\G741980-V001.doc איילון חברה לביטוח בע"מ אבי נגר 15/1929 הודעה על עיכוב ביצוע 741980-V1 G741980-V1</cp:keywords>
  <dc:description>מור_x000d_
איילון חברה לביטוח בע"מ_x000d_
הודעה על עיכוב ביצוע</dc:description>
  <cp:lastModifiedBy>ariel f</cp:lastModifiedBy>
  <cp:revision>11</cp:revision>
  <cp:lastPrinted>2025-10-09T15:07:00Z</cp:lastPrinted>
  <dcterms:created xsi:type="dcterms:W3CDTF">2025-10-05T11:37:00Z</dcterms:created>
  <dcterms:modified xsi:type="dcterms:W3CDTF">2025-10-12T11:40:00Z</dcterms:modified>
  <cp:category/>
</cp:coreProperties>
</file>