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7A475" w14:textId="4B2F6899" w:rsidR="00C6169C" w:rsidRPr="001C0227" w:rsidRDefault="00C6169C" w:rsidP="00A3516A">
      <w:pPr>
        <w:spacing w:line="360" w:lineRule="auto"/>
        <w:jc w:val="both"/>
        <w:rPr>
          <w:rFonts w:ascii="Goudy Old Style" w:hAnsi="Goudy Old Style" w:cs="David"/>
          <w:b/>
          <w:bCs/>
          <w:sz w:val="26"/>
          <w:szCs w:val="26"/>
          <w:u w:val="single"/>
        </w:rPr>
      </w:pPr>
      <w:bookmarkStart w:id="0" w:name="_Hlk210559996"/>
      <w:r w:rsidRPr="00C163E1">
        <w:rPr>
          <w:rFonts w:ascii="Goudy Old Style" w:hAnsi="Goudy Old Style" w:cs="David" w:hint="cs"/>
          <w:b/>
          <w:bCs/>
          <w:sz w:val="26"/>
          <w:szCs w:val="26"/>
          <w:rtl/>
        </w:rPr>
        <w:t xml:space="preserve">בבית </w:t>
      </w:r>
      <w:r w:rsidR="00E37FED" w:rsidRPr="00C163E1">
        <w:rPr>
          <w:rFonts w:ascii="Goudy Old Style" w:hAnsi="Goudy Old Style" w:cs="David" w:hint="cs"/>
          <w:b/>
          <w:bCs/>
          <w:sz w:val="26"/>
          <w:szCs w:val="26"/>
          <w:rtl/>
        </w:rPr>
        <w:t xml:space="preserve">   </w:t>
      </w:r>
      <w:r w:rsidRPr="00C163E1">
        <w:rPr>
          <w:rFonts w:ascii="Goudy Old Style" w:hAnsi="Goudy Old Style" w:cs="David" w:hint="cs"/>
          <w:b/>
          <w:bCs/>
          <w:sz w:val="26"/>
          <w:szCs w:val="26"/>
          <w:rtl/>
        </w:rPr>
        <w:t xml:space="preserve">המשפט </w:t>
      </w:r>
      <w:r w:rsidR="00E37FED" w:rsidRPr="00C163E1">
        <w:rPr>
          <w:rFonts w:ascii="Goudy Old Style" w:hAnsi="Goudy Old Style" w:cs="David" w:hint="cs"/>
          <w:b/>
          <w:bCs/>
          <w:sz w:val="26"/>
          <w:szCs w:val="26"/>
          <w:rtl/>
        </w:rPr>
        <w:t xml:space="preserve">  </w:t>
      </w:r>
      <w:r w:rsidRPr="00C163E1">
        <w:rPr>
          <w:rFonts w:ascii="Goudy Old Style" w:hAnsi="Goudy Old Style" w:cs="David" w:hint="cs"/>
          <w:b/>
          <w:bCs/>
          <w:sz w:val="26"/>
          <w:szCs w:val="26"/>
          <w:rtl/>
        </w:rPr>
        <w:t>ה</w:t>
      </w:r>
      <w:r w:rsidR="004B25C0" w:rsidRPr="00C163E1">
        <w:rPr>
          <w:rFonts w:ascii="Goudy Old Style" w:hAnsi="Goudy Old Style" w:cs="David" w:hint="cs"/>
          <w:b/>
          <w:bCs/>
          <w:sz w:val="26"/>
          <w:szCs w:val="26"/>
          <w:rtl/>
        </w:rPr>
        <w:t xml:space="preserve">עליון </w:t>
      </w:r>
      <w:r w:rsidR="00E37FED" w:rsidRPr="00C163E1">
        <w:rPr>
          <w:rFonts w:ascii="Goudy Old Style" w:hAnsi="Goudy Old Style" w:cs="David" w:hint="cs"/>
          <w:b/>
          <w:bCs/>
          <w:sz w:val="26"/>
          <w:szCs w:val="26"/>
          <w:rtl/>
        </w:rPr>
        <w:t xml:space="preserve">  </w:t>
      </w:r>
      <w:r w:rsidR="004B25C0" w:rsidRPr="00C163E1">
        <w:rPr>
          <w:rFonts w:ascii="Goudy Old Style" w:hAnsi="Goudy Old Style" w:cs="David" w:hint="cs"/>
          <w:b/>
          <w:bCs/>
          <w:sz w:val="26"/>
          <w:szCs w:val="26"/>
          <w:rtl/>
        </w:rPr>
        <w:t>בירושלים</w:t>
      </w:r>
      <w:r w:rsidRPr="00C163E1">
        <w:rPr>
          <w:rFonts w:ascii="Goudy Old Style" w:hAnsi="Goudy Old Style" w:cs="David" w:hint="cs"/>
          <w:b/>
          <w:bCs/>
          <w:sz w:val="26"/>
          <w:szCs w:val="26"/>
          <w:rtl/>
        </w:rPr>
        <w:t xml:space="preserve">      </w:t>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Pr="00C163E1">
        <w:rPr>
          <w:rFonts w:ascii="Goudy Old Style" w:hAnsi="Goudy Old Style" w:cs="David" w:hint="cs"/>
          <w:b/>
          <w:bCs/>
          <w:sz w:val="26"/>
          <w:szCs w:val="26"/>
          <w:rtl/>
        </w:rPr>
        <w:tab/>
      </w:r>
      <w:r w:rsidR="008E1B0F" w:rsidRPr="00C163E1">
        <w:rPr>
          <w:rFonts w:ascii="Goudy Old Style" w:hAnsi="Goudy Old Style" w:cs="David" w:hint="cs"/>
          <w:b/>
          <w:bCs/>
          <w:sz w:val="26"/>
          <w:szCs w:val="26"/>
          <w:rtl/>
        </w:rPr>
        <w:t xml:space="preserve"> </w:t>
      </w:r>
      <w:r w:rsidR="004B25C0" w:rsidRPr="001C0227">
        <w:rPr>
          <w:rFonts w:ascii="Goudy Old Style" w:hAnsi="Goudy Old Style" w:cs="David" w:hint="cs"/>
          <w:b/>
          <w:bCs/>
          <w:sz w:val="26"/>
          <w:szCs w:val="26"/>
          <w:u w:val="single"/>
          <w:rtl/>
        </w:rPr>
        <w:t>ע</w:t>
      </w:r>
      <w:r w:rsidRPr="001C0227">
        <w:rPr>
          <w:rFonts w:ascii="Goudy Old Style" w:hAnsi="Goudy Old Style" w:cs="David" w:hint="cs"/>
          <w:b/>
          <w:bCs/>
          <w:sz w:val="26"/>
          <w:szCs w:val="26"/>
          <w:u w:val="single"/>
          <w:rtl/>
        </w:rPr>
        <w:t xml:space="preserve">.א. </w:t>
      </w:r>
      <w:r w:rsidR="009B6F56" w:rsidRPr="001C0227">
        <w:rPr>
          <w:rFonts w:ascii="David" w:hAnsi="David" w:cs="David" w:hint="cs"/>
          <w:b/>
          <w:bCs/>
          <w:u w:val="single"/>
          <w:rtl/>
        </w:rPr>
        <w:t>/</w:t>
      </w:r>
      <w:r w:rsidR="00517AF1">
        <w:rPr>
          <w:rFonts w:ascii="David" w:hAnsi="David" w:cs="David" w:hint="cs"/>
          <w:b/>
          <w:bCs/>
          <w:u w:val="single"/>
          <w:rtl/>
        </w:rPr>
        <w:t>25</w:t>
      </w:r>
    </w:p>
    <w:p w14:paraId="0728EE5E" w14:textId="511D0604" w:rsidR="00557A47" w:rsidRPr="00C163E1" w:rsidRDefault="004B25C0" w:rsidP="00A3516A">
      <w:pPr>
        <w:spacing w:line="360" w:lineRule="auto"/>
        <w:ind w:right="-1276"/>
        <w:jc w:val="both"/>
        <w:rPr>
          <w:rFonts w:ascii="Goudy Old Style" w:hAnsi="Goudy Old Style" w:cs="David"/>
          <w:b/>
          <w:bCs/>
          <w:sz w:val="26"/>
          <w:szCs w:val="26"/>
          <w:rtl/>
        </w:rPr>
      </w:pPr>
      <w:r w:rsidRPr="00C163E1">
        <w:rPr>
          <w:rFonts w:ascii="Goudy Old Style" w:hAnsi="Goudy Old Style" w:cs="David" w:hint="cs"/>
          <w:b/>
          <w:bCs/>
          <w:sz w:val="26"/>
          <w:szCs w:val="26"/>
          <w:u w:val="single"/>
          <w:rtl/>
        </w:rPr>
        <w:t>בשבתו כבית דין לערעורים אזרחיים</w:t>
      </w:r>
      <w:r w:rsidR="00C6169C" w:rsidRPr="00C163E1">
        <w:rPr>
          <w:rFonts w:ascii="Goudy Old Style" w:hAnsi="Goudy Old Style" w:cs="David" w:hint="cs"/>
          <w:b/>
          <w:bCs/>
          <w:sz w:val="26"/>
          <w:szCs w:val="26"/>
          <w:rtl/>
        </w:rPr>
        <w:tab/>
      </w:r>
      <w:r w:rsidRPr="00C163E1">
        <w:rPr>
          <w:rFonts w:ascii="Goudy Old Style" w:hAnsi="Goudy Old Style" w:cs="David"/>
          <w:b/>
          <w:bCs/>
          <w:sz w:val="26"/>
          <w:szCs w:val="26"/>
          <w:rtl/>
        </w:rPr>
        <w:tab/>
      </w:r>
      <w:r w:rsidR="00C6169C" w:rsidRPr="00C163E1">
        <w:rPr>
          <w:rFonts w:ascii="Goudy Old Style" w:hAnsi="Goudy Old Style" w:cs="David" w:hint="cs"/>
          <w:b/>
          <w:bCs/>
          <w:sz w:val="26"/>
          <w:szCs w:val="26"/>
          <w:rtl/>
        </w:rPr>
        <w:tab/>
      </w:r>
      <w:r w:rsidR="00C6169C" w:rsidRPr="00C163E1">
        <w:rPr>
          <w:rFonts w:ascii="Goudy Old Style" w:hAnsi="Goudy Old Style" w:cs="David" w:hint="cs"/>
          <w:b/>
          <w:bCs/>
          <w:sz w:val="26"/>
          <w:szCs w:val="26"/>
          <w:rtl/>
        </w:rPr>
        <w:tab/>
      </w:r>
      <w:r w:rsidR="00C6169C" w:rsidRPr="00C163E1">
        <w:rPr>
          <w:rFonts w:ascii="Goudy Old Style" w:hAnsi="Goudy Old Style" w:cs="David" w:hint="cs"/>
          <w:b/>
          <w:bCs/>
          <w:sz w:val="26"/>
          <w:szCs w:val="26"/>
          <w:rtl/>
        </w:rPr>
        <w:tab/>
      </w:r>
      <w:r w:rsidR="00C6169C" w:rsidRPr="00C163E1">
        <w:rPr>
          <w:rFonts w:ascii="Goudy Old Style" w:hAnsi="Goudy Old Style" w:cs="David" w:hint="cs"/>
          <w:b/>
          <w:bCs/>
          <w:sz w:val="26"/>
          <w:szCs w:val="26"/>
          <w:rtl/>
        </w:rPr>
        <w:tab/>
      </w:r>
      <w:r w:rsidR="00C6169C" w:rsidRPr="00C163E1">
        <w:rPr>
          <w:rFonts w:ascii="Goudy Old Style" w:hAnsi="Goudy Old Style" w:cs="David" w:hint="cs"/>
          <w:b/>
          <w:bCs/>
          <w:sz w:val="26"/>
          <w:szCs w:val="26"/>
          <w:rtl/>
        </w:rPr>
        <w:tab/>
      </w:r>
      <w:r w:rsidR="00C6169C" w:rsidRPr="00C163E1">
        <w:rPr>
          <w:rFonts w:ascii="Goudy Old Style" w:hAnsi="Goudy Old Style" w:cs="David" w:hint="cs"/>
          <w:b/>
          <w:bCs/>
          <w:sz w:val="26"/>
          <w:szCs w:val="26"/>
          <w:rtl/>
        </w:rPr>
        <w:tab/>
      </w:r>
      <w:r w:rsidR="00C6169C" w:rsidRPr="00C163E1">
        <w:rPr>
          <w:rFonts w:ascii="Goudy Old Style" w:hAnsi="Goudy Old Style" w:cs="David" w:hint="cs"/>
          <w:b/>
          <w:bCs/>
          <w:sz w:val="26"/>
          <w:szCs w:val="26"/>
          <w:rtl/>
        </w:rPr>
        <w:tab/>
      </w:r>
      <w:r w:rsidR="00C6169C" w:rsidRPr="00C163E1">
        <w:rPr>
          <w:rFonts w:ascii="Goudy Old Style" w:hAnsi="Goudy Old Style" w:cs="David" w:hint="cs"/>
          <w:b/>
          <w:bCs/>
          <w:sz w:val="26"/>
          <w:szCs w:val="26"/>
          <w:rtl/>
        </w:rPr>
        <w:tab/>
      </w:r>
    </w:p>
    <w:p w14:paraId="5FBADD6C" w14:textId="77777777" w:rsidR="0039466A" w:rsidRDefault="0039466A" w:rsidP="00A3516A">
      <w:pPr>
        <w:spacing w:line="360" w:lineRule="auto"/>
        <w:ind w:right="-1276"/>
        <w:jc w:val="both"/>
        <w:rPr>
          <w:rFonts w:ascii="Goudy Old Style" w:hAnsi="Goudy Old Style" w:cs="David"/>
          <w:rtl/>
        </w:rPr>
      </w:pPr>
      <w:r>
        <w:rPr>
          <w:rFonts w:ascii="Goudy Old Style" w:hAnsi="Goudy Old Style" w:cs="David" w:hint="cs"/>
          <w:rtl/>
        </w:rPr>
        <w:t>תאריך חתימת המסמך: 12.10.2025</w:t>
      </w:r>
    </w:p>
    <w:p w14:paraId="48BCF13F" w14:textId="04B6950F" w:rsidR="00C6169C" w:rsidRPr="00C163E1" w:rsidRDefault="00C6169C" w:rsidP="00A3516A">
      <w:pPr>
        <w:spacing w:line="360" w:lineRule="auto"/>
        <w:ind w:right="-1276"/>
        <w:jc w:val="both"/>
        <w:rPr>
          <w:rFonts w:ascii="Goudy Old Style" w:hAnsi="Goudy Old Style" w:cs="David"/>
          <w:rtl/>
        </w:rPr>
      </w:pPr>
      <w:r w:rsidRPr="00C163E1">
        <w:rPr>
          <w:rFonts w:ascii="Goudy Old Style" w:hAnsi="Goudy Old Style" w:cs="David" w:hint="cs"/>
          <w:rtl/>
        </w:rPr>
        <w:tab/>
      </w:r>
      <w:r w:rsidRPr="00C163E1">
        <w:rPr>
          <w:rFonts w:ascii="Goudy Old Style" w:hAnsi="Goudy Old Style" w:cs="David" w:hint="cs"/>
          <w:rtl/>
        </w:rPr>
        <w:tab/>
      </w:r>
      <w:r w:rsidRPr="00C163E1">
        <w:rPr>
          <w:rFonts w:ascii="Goudy Old Style" w:hAnsi="Goudy Old Style" w:cs="David" w:hint="cs"/>
          <w:rtl/>
        </w:rPr>
        <w:tab/>
      </w:r>
      <w:r w:rsidRPr="00C163E1">
        <w:rPr>
          <w:rFonts w:ascii="Goudy Old Style" w:hAnsi="Goudy Old Style" w:cs="David" w:hint="cs"/>
          <w:rtl/>
        </w:rPr>
        <w:tab/>
      </w:r>
    </w:p>
    <w:p w14:paraId="66C8F7F8" w14:textId="25318BEA" w:rsidR="00585A74" w:rsidRDefault="00585A74" w:rsidP="00585A74">
      <w:pPr>
        <w:spacing w:line="360" w:lineRule="auto"/>
        <w:jc w:val="both"/>
        <w:rPr>
          <w:rFonts w:ascii="Goudy Old Style" w:hAnsi="Goudy Old Style" w:cs="David"/>
          <w:b/>
          <w:bCs/>
          <w:sz w:val="26"/>
          <w:szCs w:val="26"/>
          <w:rtl/>
        </w:rPr>
      </w:pPr>
      <w:r>
        <w:rPr>
          <w:rFonts w:ascii="Goudy Old Style" w:hAnsi="Goudy Old Style" w:cs="David" w:hint="cs"/>
          <w:b/>
          <w:bCs/>
          <w:sz w:val="26"/>
          <w:szCs w:val="26"/>
          <w:u w:val="single"/>
          <w:rtl/>
        </w:rPr>
        <w:t>המערערים</w:t>
      </w:r>
      <w:r w:rsidRPr="009876C2">
        <w:rPr>
          <w:rFonts w:ascii="Goudy Old Style" w:hAnsi="Goudy Old Style" w:cs="David" w:hint="cs"/>
          <w:sz w:val="26"/>
          <w:szCs w:val="26"/>
          <w:rtl/>
        </w:rPr>
        <w:t xml:space="preserve">:  </w:t>
      </w:r>
      <w:r>
        <w:rPr>
          <w:rFonts w:ascii="Goudy Old Style" w:hAnsi="Goudy Old Style" w:cs="David" w:hint="cs"/>
          <w:sz w:val="26"/>
          <w:szCs w:val="26"/>
          <w:rtl/>
        </w:rPr>
        <w:t xml:space="preserve">  </w:t>
      </w:r>
      <w:r w:rsidRPr="009876C2">
        <w:rPr>
          <w:rFonts w:ascii="Goudy Old Style" w:hAnsi="Goudy Old Style" w:cs="David" w:hint="cs"/>
          <w:sz w:val="26"/>
          <w:szCs w:val="26"/>
          <w:rtl/>
        </w:rPr>
        <w:t xml:space="preserve">  </w:t>
      </w:r>
      <w:r w:rsidRPr="009876C2">
        <w:rPr>
          <w:rFonts w:ascii="Goudy Old Style" w:hAnsi="Goudy Old Style" w:cs="David" w:hint="cs"/>
          <w:b/>
          <w:bCs/>
          <w:sz w:val="26"/>
          <w:szCs w:val="26"/>
          <w:rtl/>
        </w:rPr>
        <w:t>1.</w:t>
      </w:r>
      <w:r>
        <w:rPr>
          <w:rFonts w:ascii="Goudy Old Style" w:hAnsi="Goudy Old Style" w:cs="David" w:hint="cs"/>
          <w:b/>
          <w:bCs/>
          <w:sz w:val="26"/>
          <w:szCs w:val="26"/>
          <w:rtl/>
        </w:rPr>
        <w:t xml:space="preserve"> </w:t>
      </w:r>
      <w:r w:rsidRPr="009876C2">
        <w:rPr>
          <w:rFonts w:ascii="Goudy Old Style" w:hAnsi="Goudy Old Style" w:cs="David" w:hint="cs"/>
          <w:b/>
          <w:bCs/>
          <w:sz w:val="26"/>
          <w:szCs w:val="26"/>
          <w:rtl/>
        </w:rPr>
        <w:t>כרמיה (קסטנבוים) טקסטיל בע"מ</w:t>
      </w:r>
      <w:r w:rsidR="006E2370">
        <w:rPr>
          <w:rFonts w:ascii="Goudy Old Style" w:hAnsi="Goudy Old Style" w:cs="David" w:hint="cs"/>
          <w:sz w:val="26"/>
          <w:szCs w:val="26"/>
          <w:rtl/>
        </w:rPr>
        <w:t xml:space="preserve"> </w:t>
      </w:r>
      <w:r w:rsidR="006E2370" w:rsidRPr="006E2370">
        <w:rPr>
          <w:rFonts w:ascii="Goudy Old Style" w:hAnsi="Goudy Old Style" w:cs="David" w:hint="cs"/>
          <w:b/>
          <w:bCs/>
          <w:sz w:val="26"/>
          <w:szCs w:val="26"/>
          <w:rtl/>
        </w:rPr>
        <w:t>ח.פ. 513561985</w:t>
      </w:r>
      <w:r w:rsidRPr="009876C2">
        <w:rPr>
          <w:rFonts w:ascii="Goudy Old Style" w:hAnsi="Goudy Old Style" w:cs="David" w:hint="cs"/>
          <w:sz w:val="26"/>
          <w:szCs w:val="26"/>
          <w:rtl/>
        </w:rPr>
        <w:t>(הנתבעת 1 בביהמ"ש קמא)</w:t>
      </w:r>
    </w:p>
    <w:p w14:paraId="46DDDEED" w14:textId="6BC67CB4" w:rsidR="00585A74" w:rsidRDefault="006E2370" w:rsidP="006E2370">
      <w:pPr>
        <w:spacing w:line="360" w:lineRule="auto"/>
        <w:jc w:val="both"/>
        <w:rPr>
          <w:rFonts w:ascii="Goudy Old Style" w:hAnsi="Goudy Old Style" w:cs="David"/>
          <w:sz w:val="26"/>
          <w:szCs w:val="26"/>
          <w:rtl/>
        </w:rPr>
      </w:pPr>
      <w:r>
        <w:rPr>
          <w:rFonts w:ascii="Goudy Old Style" w:hAnsi="Goudy Old Style" w:cs="David"/>
          <w:b/>
          <w:bCs/>
          <w:sz w:val="26"/>
          <w:szCs w:val="26"/>
          <w:rtl/>
        </w:rPr>
        <w:tab/>
      </w:r>
      <w:r>
        <w:rPr>
          <w:rFonts w:ascii="Goudy Old Style" w:hAnsi="Goudy Old Style" w:cs="David"/>
          <w:b/>
          <w:bCs/>
          <w:sz w:val="26"/>
          <w:szCs w:val="26"/>
          <w:rtl/>
        </w:rPr>
        <w:tab/>
      </w:r>
      <w:r>
        <w:rPr>
          <w:rFonts w:ascii="Goudy Old Style" w:hAnsi="Goudy Old Style" w:cs="David" w:hint="cs"/>
          <w:sz w:val="26"/>
          <w:szCs w:val="26"/>
          <w:rtl/>
        </w:rPr>
        <w:t xml:space="preserve">     </w:t>
      </w:r>
      <w:r w:rsidRPr="006E2370">
        <w:rPr>
          <w:rFonts w:ascii="Goudy Old Style" w:hAnsi="Goudy Old Style" w:cs="David" w:hint="cs"/>
          <w:sz w:val="26"/>
          <w:szCs w:val="26"/>
          <w:rtl/>
        </w:rPr>
        <w:t xml:space="preserve">מרחוב חוצות היוצר 25, אשקלון </w:t>
      </w:r>
      <w:r>
        <w:rPr>
          <w:rFonts w:ascii="Goudy Old Style" w:hAnsi="Goudy Old Style" w:cs="David"/>
          <w:sz w:val="26"/>
          <w:szCs w:val="26"/>
          <w:rtl/>
        </w:rPr>
        <w:tab/>
      </w:r>
      <w:r>
        <w:rPr>
          <w:rFonts w:ascii="Goudy Old Style" w:hAnsi="Goudy Old Style" w:cs="David"/>
          <w:sz w:val="26"/>
          <w:szCs w:val="26"/>
          <w:rtl/>
        </w:rPr>
        <w:tab/>
      </w:r>
      <w:r>
        <w:rPr>
          <w:rFonts w:ascii="Goudy Old Style" w:hAnsi="Goudy Old Style" w:cs="David"/>
          <w:sz w:val="26"/>
          <w:szCs w:val="26"/>
          <w:rtl/>
        </w:rPr>
        <w:tab/>
      </w:r>
      <w:r>
        <w:rPr>
          <w:rFonts w:ascii="Goudy Old Style" w:hAnsi="Goudy Old Style" w:cs="David"/>
          <w:sz w:val="26"/>
          <w:szCs w:val="26"/>
          <w:rtl/>
        </w:rPr>
        <w:tab/>
      </w:r>
      <w:r>
        <w:rPr>
          <w:rFonts w:ascii="Goudy Old Style" w:hAnsi="Goudy Old Style" w:cs="David"/>
          <w:sz w:val="26"/>
          <w:szCs w:val="26"/>
          <w:rtl/>
        </w:rPr>
        <w:tab/>
      </w:r>
      <w:r>
        <w:rPr>
          <w:rFonts w:ascii="Goudy Old Style" w:hAnsi="Goudy Old Style" w:cs="David" w:hint="cs"/>
          <w:sz w:val="26"/>
          <w:szCs w:val="26"/>
          <w:rtl/>
        </w:rPr>
        <w:t xml:space="preserve">   </w:t>
      </w:r>
      <w:r w:rsidR="00585A74">
        <w:rPr>
          <w:rFonts w:ascii="Goudy Old Style" w:hAnsi="Goudy Old Style" w:cs="David"/>
          <w:sz w:val="26"/>
          <w:szCs w:val="26"/>
          <w:rtl/>
        </w:rPr>
        <w:tab/>
      </w:r>
      <w:r w:rsidR="00585A74">
        <w:rPr>
          <w:rFonts w:ascii="Goudy Old Style" w:hAnsi="Goudy Old Style" w:cs="David"/>
          <w:sz w:val="26"/>
          <w:szCs w:val="26"/>
          <w:rtl/>
        </w:rPr>
        <w:tab/>
      </w:r>
      <w:r w:rsidR="00585A74">
        <w:rPr>
          <w:rFonts w:ascii="Goudy Old Style" w:hAnsi="Goudy Old Style" w:cs="David" w:hint="cs"/>
          <w:sz w:val="26"/>
          <w:szCs w:val="26"/>
          <w:rtl/>
        </w:rPr>
        <w:t xml:space="preserve"> </w:t>
      </w:r>
      <w:r>
        <w:rPr>
          <w:rFonts w:ascii="Goudy Old Style" w:hAnsi="Goudy Old Style" w:cs="David" w:hint="cs"/>
          <w:sz w:val="26"/>
          <w:szCs w:val="26"/>
          <w:rtl/>
        </w:rPr>
        <w:t xml:space="preserve">         </w:t>
      </w:r>
      <w:r w:rsidR="00585A74">
        <w:rPr>
          <w:rFonts w:ascii="Goudy Old Style" w:hAnsi="Goudy Old Style" w:cs="David" w:hint="cs"/>
          <w:sz w:val="26"/>
          <w:szCs w:val="26"/>
          <w:rtl/>
        </w:rPr>
        <w:t xml:space="preserve">    </w:t>
      </w:r>
      <w:r w:rsidR="00585A74" w:rsidRPr="009876C2">
        <w:rPr>
          <w:rFonts w:ascii="Goudy Old Style" w:hAnsi="Goudy Old Style" w:cs="David" w:hint="cs"/>
          <w:b/>
          <w:bCs/>
          <w:sz w:val="26"/>
          <w:szCs w:val="26"/>
          <w:rtl/>
        </w:rPr>
        <w:t>2.</w:t>
      </w:r>
      <w:r w:rsidR="00585A74">
        <w:rPr>
          <w:rFonts w:ascii="Goudy Old Style" w:hAnsi="Goudy Old Style" w:cs="David" w:hint="cs"/>
          <w:b/>
          <w:bCs/>
          <w:sz w:val="26"/>
          <w:szCs w:val="26"/>
          <w:rtl/>
        </w:rPr>
        <w:t xml:space="preserve"> </w:t>
      </w:r>
      <w:r w:rsidR="00585A74" w:rsidRPr="009876C2">
        <w:rPr>
          <w:rFonts w:ascii="Goudy Old Style" w:hAnsi="Goudy Old Style" w:cs="David" w:hint="cs"/>
          <w:b/>
          <w:bCs/>
          <w:sz w:val="26"/>
          <w:szCs w:val="26"/>
          <w:rtl/>
        </w:rPr>
        <w:t xml:space="preserve">בנימין קסטנבוים, ת.ז. </w:t>
      </w:r>
      <w:bookmarkStart w:id="1" w:name="_Hlk210922724"/>
      <w:r w:rsidR="00585A74">
        <w:rPr>
          <w:rFonts w:ascii="Goudy Old Style" w:hAnsi="Goudy Old Style" w:cs="David" w:hint="cs"/>
          <w:b/>
          <w:bCs/>
          <w:sz w:val="26"/>
          <w:szCs w:val="26"/>
          <w:rtl/>
        </w:rPr>
        <w:t>020046196</w:t>
      </w:r>
      <w:r w:rsidR="00585A74">
        <w:rPr>
          <w:rFonts w:ascii="Goudy Old Style" w:hAnsi="Goudy Old Style" w:cs="David" w:hint="cs"/>
          <w:sz w:val="26"/>
          <w:szCs w:val="26"/>
          <w:rtl/>
        </w:rPr>
        <w:t xml:space="preserve"> </w:t>
      </w:r>
      <w:r w:rsidR="00585A74" w:rsidRPr="009876C2">
        <w:rPr>
          <w:rFonts w:ascii="Goudy Old Style" w:hAnsi="Goudy Old Style" w:cs="David" w:hint="cs"/>
          <w:sz w:val="26"/>
          <w:szCs w:val="26"/>
          <w:rtl/>
        </w:rPr>
        <w:t xml:space="preserve"> </w:t>
      </w:r>
      <w:bookmarkEnd w:id="1"/>
      <w:r w:rsidR="00585A74" w:rsidRPr="009876C2">
        <w:rPr>
          <w:rFonts w:ascii="Goudy Old Style" w:hAnsi="Goudy Old Style" w:cs="David" w:hint="cs"/>
          <w:sz w:val="26"/>
          <w:szCs w:val="26"/>
          <w:rtl/>
        </w:rPr>
        <w:t>(הנתבע 3 בביהמ"ש קמא)</w:t>
      </w:r>
    </w:p>
    <w:p w14:paraId="66AF1DBC" w14:textId="055C5CC5" w:rsidR="006E2370" w:rsidRPr="009876C2" w:rsidRDefault="006E2370" w:rsidP="006E2370">
      <w:pPr>
        <w:spacing w:line="360" w:lineRule="auto"/>
        <w:jc w:val="both"/>
        <w:rPr>
          <w:rFonts w:ascii="Goudy Old Style" w:hAnsi="Goudy Old Style" w:cs="David"/>
          <w:sz w:val="26"/>
          <w:szCs w:val="26"/>
          <w:rtl/>
        </w:rPr>
      </w:pPr>
      <w:r>
        <w:rPr>
          <w:rFonts w:ascii="Goudy Old Style" w:hAnsi="Goudy Old Style" w:cs="David"/>
          <w:sz w:val="26"/>
          <w:szCs w:val="26"/>
          <w:rtl/>
        </w:rPr>
        <w:tab/>
      </w:r>
      <w:r>
        <w:rPr>
          <w:rFonts w:ascii="Goudy Old Style" w:hAnsi="Goudy Old Style" w:cs="David"/>
          <w:sz w:val="26"/>
          <w:szCs w:val="26"/>
          <w:rtl/>
        </w:rPr>
        <w:tab/>
      </w:r>
      <w:r>
        <w:rPr>
          <w:rFonts w:ascii="Goudy Old Style" w:hAnsi="Goudy Old Style" w:cs="David" w:hint="cs"/>
          <w:sz w:val="26"/>
          <w:szCs w:val="26"/>
          <w:rtl/>
        </w:rPr>
        <w:t xml:space="preserve">     מרחוב אריה בן אליעזר 24, פתח תקווה</w:t>
      </w:r>
    </w:p>
    <w:p w14:paraId="48BE1146" w14:textId="0033F2A4" w:rsidR="00585A74" w:rsidRDefault="00585A74" w:rsidP="00585A74">
      <w:pPr>
        <w:spacing w:line="360" w:lineRule="auto"/>
        <w:ind w:left="565" w:hanging="2"/>
        <w:jc w:val="both"/>
        <w:rPr>
          <w:rFonts w:ascii="Goudy Old Style" w:hAnsi="Goudy Old Style" w:cs="David"/>
          <w:sz w:val="26"/>
          <w:szCs w:val="26"/>
          <w:rtl/>
        </w:rPr>
      </w:pPr>
      <w:r>
        <w:rPr>
          <w:rFonts w:ascii="Goudy Old Style" w:hAnsi="Goudy Old Style" w:cs="David" w:hint="cs"/>
          <w:sz w:val="26"/>
          <w:szCs w:val="26"/>
          <w:rtl/>
        </w:rPr>
        <w:t xml:space="preserve">  </w:t>
      </w:r>
      <w:r w:rsidRPr="009876C2">
        <w:rPr>
          <w:rFonts w:ascii="Goudy Old Style" w:hAnsi="Goudy Old Style" w:cs="David"/>
          <w:sz w:val="26"/>
          <w:szCs w:val="26"/>
          <w:rtl/>
        </w:rPr>
        <w:tab/>
      </w:r>
      <w:r>
        <w:rPr>
          <w:rFonts w:ascii="Goudy Old Style" w:hAnsi="Goudy Old Style" w:cs="David" w:hint="cs"/>
          <w:sz w:val="26"/>
          <w:szCs w:val="26"/>
          <w:rtl/>
        </w:rPr>
        <w:t xml:space="preserve">  </w:t>
      </w:r>
      <w:r w:rsidR="006E2370">
        <w:rPr>
          <w:rFonts w:ascii="Goudy Old Style" w:hAnsi="Goudy Old Style" w:cs="David" w:hint="cs"/>
          <w:sz w:val="26"/>
          <w:szCs w:val="26"/>
          <w:rtl/>
        </w:rPr>
        <w:t xml:space="preserve">        </w:t>
      </w:r>
      <w:r>
        <w:rPr>
          <w:rFonts w:ascii="Goudy Old Style" w:hAnsi="Goudy Old Style" w:cs="David" w:hint="cs"/>
          <w:b/>
          <w:bCs/>
          <w:sz w:val="26"/>
          <w:szCs w:val="26"/>
          <w:rtl/>
        </w:rPr>
        <w:t xml:space="preserve">    </w:t>
      </w:r>
      <w:r w:rsidRPr="009876C2">
        <w:rPr>
          <w:rFonts w:ascii="Goudy Old Style" w:hAnsi="Goudy Old Style" w:cs="David" w:hint="cs"/>
          <w:b/>
          <w:bCs/>
          <w:sz w:val="26"/>
          <w:szCs w:val="26"/>
          <w:rtl/>
        </w:rPr>
        <w:t>3.</w:t>
      </w:r>
      <w:r>
        <w:rPr>
          <w:rFonts w:ascii="Goudy Old Style" w:hAnsi="Goudy Old Style" w:cs="David" w:hint="cs"/>
          <w:b/>
          <w:bCs/>
          <w:sz w:val="26"/>
          <w:szCs w:val="26"/>
          <w:rtl/>
        </w:rPr>
        <w:t xml:space="preserve"> </w:t>
      </w:r>
      <w:r w:rsidRPr="009876C2">
        <w:rPr>
          <w:rFonts w:ascii="Goudy Old Style" w:hAnsi="Goudy Old Style" w:cs="David" w:hint="cs"/>
          <w:b/>
          <w:bCs/>
          <w:sz w:val="26"/>
          <w:szCs w:val="26"/>
          <w:rtl/>
        </w:rPr>
        <w:t>שרה קסטנבוים, ת"ז 050935758</w:t>
      </w:r>
      <w:r w:rsidRPr="009876C2">
        <w:rPr>
          <w:rFonts w:ascii="Goudy Old Style" w:hAnsi="Goudy Old Style" w:cs="David" w:hint="cs"/>
          <w:sz w:val="26"/>
          <w:szCs w:val="26"/>
          <w:rtl/>
        </w:rPr>
        <w:t xml:space="preserve"> (הנתבעת 5 בביהמ"ש קמא)</w:t>
      </w:r>
    </w:p>
    <w:p w14:paraId="1299409D" w14:textId="1313F39F" w:rsidR="006E2370" w:rsidRPr="006E2370" w:rsidRDefault="006E2370" w:rsidP="00585A74">
      <w:pPr>
        <w:spacing w:line="360" w:lineRule="auto"/>
        <w:ind w:left="565" w:hanging="2"/>
        <w:jc w:val="both"/>
        <w:rPr>
          <w:rFonts w:ascii="Goudy Old Style" w:hAnsi="Goudy Old Style" w:cs="David"/>
          <w:sz w:val="26"/>
          <w:szCs w:val="26"/>
          <w:rtl/>
        </w:rPr>
      </w:pPr>
      <w:r w:rsidRPr="006E2370">
        <w:rPr>
          <w:rFonts w:ascii="Goudy Old Style" w:hAnsi="Goudy Old Style" w:cs="David"/>
          <w:sz w:val="26"/>
          <w:szCs w:val="26"/>
          <w:rtl/>
        </w:rPr>
        <w:tab/>
      </w:r>
      <w:r w:rsidRPr="006E2370">
        <w:rPr>
          <w:rFonts w:ascii="Goudy Old Style" w:hAnsi="Goudy Old Style" w:cs="David"/>
          <w:sz w:val="26"/>
          <w:szCs w:val="26"/>
          <w:rtl/>
        </w:rPr>
        <w:tab/>
      </w:r>
      <w:r w:rsidRPr="006E2370">
        <w:rPr>
          <w:rFonts w:ascii="Goudy Old Style" w:hAnsi="Goudy Old Style" w:cs="David"/>
          <w:sz w:val="26"/>
          <w:szCs w:val="26"/>
          <w:rtl/>
        </w:rPr>
        <w:tab/>
      </w:r>
      <w:r w:rsidRPr="006E2370">
        <w:rPr>
          <w:rFonts w:ascii="Goudy Old Style" w:hAnsi="Goudy Old Style" w:cs="David" w:hint="cs"/>
          <w:sz w:val="26"/>
          <w:szCs w:val="26"/>
          <w:rtl/>
        </w:rPr>
        <w:t xml:space="preserve">      מרחוב רב אסי 5, בני ברק</w:t>
      </w:r>
    </w:p>
    <w:p w14:paraId="3EA988D7" w14:textId="04F2AB64" w:rsidR="00585A74" w:rsidRPr="006E2370" w:rsidRDefault="006E2370" w:rsidP="006E2370">
      <w:pPr>
        <w:spacing w:line="360" w:lineRule="auto"/>
        <w:ind w:left="1440"/>
        <w:rPr>
          <w:rFonts w:ascii="David" w:hAnsi="David" w:cs="David"/>
          <w:rtl/>
        </w:rPr>
      </w:pPr>
      <w:r>
        <w:rPr>
          <w:rFonts w:ascii="David" w:hAnsi="David" w:cs="David" w:hint="cs"/>
          <w:rtl/>
        </w:rPr>
        <w:t xml:space="preserve">      </w:t>
      </w:r>
      <w:r w:rsidR="00585A74" w:rsidRPr="006E2370">
        <w:rPr>
          <w:rFonts w:ascii="David" w:hAnsi="David" w:cs="David" w:hint="cs"/>
          <w:rtl/>
        </w:rPr>
        <w:t>באמצעות ב"כ עו"ד אריאל פרייברג</w:t>
      </w:r>
      <w:r w:rsidR="00585A74" w:rsidRPr="006E2370">
        <w:rPr>
          <w:rFonts w:ascii="David" w:hAnsi="David" w:cs="David"/>
        </w:rPr>
        <w:t xml:space="preserve"> </w:t>
      </w:r>
      <w:r w:rsidR="00585A74" w:rsidRPr="006E2370">
        <w:rPr>
          <w:rFonts w:ascii="David" w:hAnsi="David" w:cs="David" w:hint="cs"/>
          <w:rtl/>
        </w:rPr>
        <w:t xml:space="preserve"> (מ"ר 62254)</w:t>
      </w:r>
    </w:p>
    <w:p w14:paraId="08F374DA" w14:textId="7F732A51" w:rsidR="00585A74" w:rsidRPr="00D32E62" w:rsidRDefault="006E2370" w:rsidP="00585A74">
      <w:pPr>
        <w:pStyle w:val="a4"/>
        <w:spacing w:line="360" w:lineRule="auto"/>
        <w:rPr>
          <w:rFonts w:ascii="David" w:hAnsi="David" w:cs="David"/>
          <w:rtl/>
        </w:rPr>
      </w:pPr>
      <w:r>
        <w:rPr>
          <w:rFonts w:ascii="David" w:hAnsi="David" w:cs="David" w:hint="cs"/>
          <w:rtl/>
        </w:rPr>
        <w:t xml:space="preserve">   </w:t>
      </w:r>
      <w:r w:rsidR="00585A74" w:rsidRPr="00D32E62">
        <w:rPr>
          <w:rFonts w:ascii="David" w:hAnsi="David" w:cs="David"/>
          <w:rtl/>
        </w:rPr>
        <w:tab/>
      </w:r>
      <w:r>
        <w:rPr>
          <w:rFonts w:ascii="David" w:hAnsi="David" w:cs="David" w:hint="cs"/>
          <w:rtl/>
        </w:rPr>
        <w:t xml:space="preserve">        </w:t>
      </w:r>
      <w:r w:rsidR="00585A74" w:rsidRPr="00D32E62">
        <w:rPr>
          <w:rFonts w:ascii="David" w:hAnsi="David" w:cs="David" w:hint="cs"/>
          <w:rtl/>
        </w:rPr>
        <w:t>מרח' אבא הלל 7 , רמת גן</w:t>
      </w:r>
    </w:p>
    <w:p w14:paraId="7ED69360" w14:textId="17B93215" w:rsidR="00585A74" w:rsidRPr="004C2C53" w:rsidRDefault="00585A74" w:rsidP="00585A74">
      <w:pPr>
        <w:pStyle w:val="a4"/>
        <w:spacing w:line="360" w:lineRule="auto"/>
        <w:rPr>
          <w:rFonts w:ascii="David" w:hAnsi="David" w:cs="David"/>
          <w:u w:val="single"/>
          <w:rtl/>
        </w:rPr>
      </w:pPr>
      <w:r w:rsidRPr="00D32E62">
        <w:rPr>
          <w:rFonts w:ascii="David" w:hAnsi="David" w:cs="David"/>
          <w:rtl/>
        </w:rPr>
        <w:tab/>
      </w:r>
      <w:r w:rsidR="006E2370">
        <w:rPr>
          <w:rFonts w:ascii="David" w:hAnsi="David" w:cs="David" w:hint="cs"/>
          <w:rtl/>
        </w:rPr>
        <w:t xml:space="preserve">        </w:t>
      </w:r>
      <w:r w:rsidRPr="00D32E62">
        <w:rPr>
          <w:rFonts w:ascii="David" w:hAnsi="David" w:cs="David" w:hint="cs"/>
          <w:rtl/>
        </w:rPr>
        <w:t>טל' : 03-7412358  ,  פקס: 077-3180983</w:t>
      </w:r>
    </w:p>
    <w:p w14:paraId="08E0D552" w14:textId="78CBAE88" w:rsidR="00585A74" w:rsidRPr="006E2370" w:rsidRDefault="006E2370" w:rsidP="006E2370">
      <w:pPr>
        <w:spacing w:line="360" w:lineRule="auto"/>
        <w:rPr>
          <w:rFonts w:ascii="David" w:hAnsi="David" w:cs="David"/>
          <w:sz w:val="22"/>
          <w:szCs w:val="22"/>
          <w:rtl/>
        </w:rPr>
      </w:pPr>
      <w:r>
        <w:rPr>
          <w:rFonts w:ascii="David" w:hAnsi="David" w:cs="David" w:hint="cs"/>
          <w:rtl/>
        </w:rPr>
        <w:t xml:space="preserve">                                  </w:t>
      </w:r>
      <w:r w:rsidR="00585A74" w:rsidRPr="006E2370">
        <w:rPr>
          <w:rFonts w:ascii="David" w:hAnsi="David" w:cs="David" w:hint="cs"/>
          <w:rtl/>
        </w:rPr>
        <w:t xml:space="preserve">דוא"ל: </w:t>
      </w:r>
      <w:hyperlink r:id="rId8" w:history="1">
        <w:r w:rsidR="00585A74" w:rsidRPr="006E2370">
          <w:rPr>
            <w:rStyle w:val="Hyperlink"/>
            <w:rFonts w:ascii="David" w:hAnsi="David"/>
            <w:color w:val="auto"/>
            <w:u w:val="none"/>
          </w:rPr>
          <w:t>office@freiberg-law.com</w:t>
        </w:r>
      </w:hyperlink>
    </w:p>
    <w:p w14:paraId="76D11E89" w14:textId="5D8DEF2B" w:rsidR="00B34965" w:rsidRPr="0091434E" w:rsidRDefault="0091434E" w:rsidP="00A3516A">
      <w:pPr>
        <w:spacing w:line="360" w:lineRule="auto"/>
        <w:jc w:val="both"/>
        <w:rPr>
          <w:rFonts w:ascii="Goudy Old Style" w:hAnsi="Goudy Old Style" w:cs="David"/>
          <w:b/>
          <w:bCs/>
          <w:sz w:val="26"/>
          <w:szCs w:val="26"/>
          <w:rtl/>
        </w:rPr>
      </w:pPr>
      <w:r>
        <w:rPr>
          <w:rFonts w:ascii="Goudy Old Style" w:hAnsi="Goudy Old Style" w:cs="David"/>
          <w:sz w:val="26"/>
          <w:szCs w:val="26"/>
          <w:rtl/>
        </w:rPr>
        <w:tab/>
      </w:r>
      <w:r>
        <w:rPr>
          <w:rFonts w:ascii="Goudy Old Style" w:hAnsi="Goudy Old Style" w:cs="David"/>
          <w:sz w:val="26"/>
          <w:szCs w:val="26"/>
          <w:rtl/>
        </w:rPr>
        <w:tab/>
      </w:r>
      <w:r>
        <w:rPr>
          <w:rFonts w:ascii="Goudy Old Style" w:hAnsi="Goudy Old Style" w:cs="David"/>
          <w:sz w:val="26"/>
          <w:szCs w:val="26"/>
          <w:rtl/>
        </w:rPr>
        <w:tab/>
      </w:r>
      <w:r>
        <w:rPr>
          <w:rFonts w:ascii="Goudy Old Style" w:hAnsi="Goudy Old Style" w:cs="David"/>
          <w:sz w:val="26"/>
          <w:szCs w:val="26"/>
          <w:rtl/>
        </w:rPr>
        <w:tab/>
      </w:r>
      <w:r w:rsidRPr="0091434E">
        <w:rPr>
          <w:rFonts w:ascii="Goudy Old Style" w:hAnsi="Goudy Old Style" w:cs="David" w:hint="cs"/>
          <w:b/>
          <w:bCs/>
          <w:sz w:val="26"/>
          <w:szCs w:val="26"/>
          <w:rtl/>
        </w:rPr>
        <w:t>-נגד-</w:t>
      </w:r>
    </w:p>
    <w:p w14:paraId="4A47957F" w14:textId="517B26CD" w:rsidR="00C6169C" w:rsidRDefault="00C6169C" w:rsidP="006F04A8">
      <w:pPr>
        <w:spacing w:line="360" w:lineRule="auto"/>
        <w:jc w:val="both"/>
        <w:rPr>
          <w:rFonts w:ascii="Goudy Old Style" w:hAnsi="Goudy Old Style" w:cs="David"/>
          <w:rtl/>
        </w:rPr>
      </w:pPr>
      <w:r w:rsidRPr="00C163E1">
        <w:rPr>
          <w:rFonts w:ascii="Goudy Old Style" w:hAnsi="Goudy Old Style" w:cs="David" w:hint="cs"/>
          <w:sz w:val="26"/>
          <w:szCs w:val="26"/>
          <w:u w:val="single"/>
          <w:rtl/>
        </w:rPr>
        <w:t>ה</w:t>
      </w:r>
      <w:r w:rsidR="00B34965">
        <w:rPr>
          <w:rFonts w:ascii="Goudy Old Style" w:hAnsi="Goudy Old Style" w:cs="David" w:hint="cs"/>
          <w:sz w:val="26"/>
          <w:szCs w:val="26"/>
          <w:u w:val="single"/>
          <w:rtl/>
        </w:rPr>
        <w:t>משיב</w:t>
      </w:r>
      <w:r w:rsidRPr="00C163E1">
        <w:rPr>
          <w:rFonts w:ascii="Goudy Old Style" w:hAnsi="Goudy Old Style" w:cs="David" w:hint="cs"/>
          <w:sz w:val="26"/>
          <w:szCs w:val="26"/>
          <w:rtl/>
        </w:rPr>
        <w:t>:</w:t>
      </w:r>
      <w:r w:rsidRPr="00C163E1">
        <w:rPr>
          <w:rFonts w:ascii="Goudy Old Style" w:hAnsi="Goudy Old Style" w:cs="David" w:hint="cs"/>
          <w:sz w:val="26"/>
          <w:szCs w:val="26"/>
          <w:rtl/>
        </w:rPr>
        <w:tab/>
      </w:r>
      <w:r w:rsidR="008C42AF" w:rsidRPr="00E60584">
        <w:rPr>
          <w:rFonts w:ascii="Goudy Old Style" w:hAnsi="Goudy Old Style" w:cs="David" w:hint="cs"/>
          <w:b/>
          <w:bCs/>
          <w:sz w:val="22"/>
          <w:szCs w:val="22"/>
          <w:rtl/>
        </w:rPr>
        <w:t xml:space="preserve">        </w:t>
      </w:r>
      <w:r w:rsidR="006F04A8" w:rsidRPr="00E60584">
        <w:rPr>
          <w:rFonts w:ascii="Goudy Old Style" w:hAnsi="Goudy Old Style" w:cs="David" w:hint="cs"/>
          <w:sz w:val="22"/>
          <w:szCs w:val="22"/>
          <w:rtl/>
        </w:rPr>
        <w:t xml:space="preserve">     </w:t>
      </w:r>
      <w:bookmarkStart w:id="2" w:name="_Hlk210896862"/>
      <w:r w:rsidR="006F04A8" w:rsidRPr="00E60584">
        <w:rPr>
          <w:rFonts w:ascii="Goudy Old Style" w:hAnsi="Goudy Old Style" w:cs="David" w:hint="cs"/>
          <w:b/>
          <w:bCs/>
          <w:sz w:val="28"/>
          <w:szCs w:val="28"/>
          <w:rtl/>
        </w:rPr>
        <w:t>עואד סעיד</w:t>
      </w:r>
      <w:r w:rsidR="008C42AF" w:rsidRPr="00E60584">
        <w:rPr>
          <w:rFonts w:ascii="Goudy Old Style" w:hAnsi="Goudy Old Style" w:cs="David" w:hint="cs"/>
          <w:b/>
          <w:bCs/>
          <w:sz w:val="28"/>
          <w:szCs w:val="28"/>
          <w:rtl/>
        </w:rPr>
        <w:t xml:space="preserve">, </w:t>
      </w:r>
      <w:r w:rsidR="006F04A8" w:rsidRPr="00E60584">
        <w:rPr>
          <w:rFonts w:ascii="Goudy Old Style" w:hAnsi="Goudy Old Style" w:cs="David" w:hint="cs"/>
          <w:b/>
          <w:bCs/>
          <w:sz w:val="28"/>
          <w:szCs w:val="28"/>
          <w:rtl/>
        </w:rPr>
        <w:t>מספר דרכון</w:t>
      </w:r>
      <w:r w:rsidR="008C42AF" w:rsidRPr="00E60584">
        <w:rPr>
          <w:rFonts w:ascii="Goudy Old Style" w:hAnsi="Goudy Old Style" w:cs="David" w:hint="cs"/>
          <w:b/>
          <w:bCs/>
          <w:sz w:val="28"/>
          <w:szCs w:val="28"/>
          <w:rtl/>
        </w:rPr>
        <w:t xml:space="preserve"> </w:t>
      </w:r>
      <w:r w:rsidR="006F04A8" w:rsidRPr="00E60584">
        <w:rPr>
          <w:rFonts w:ascii="Goudy Old Style" w:hAnsi="Goudy Old Style" w:cs="David"/>
          <w:b/>
          <w:bCs/>
          <w:sz w:val="28"/>
          <w:szCs w:val="28"/>
          <w:rtl/>
        </w:rPr>
        <w:t>962506606</w:t>
      </w:r>
      <w:r w:rsidR="008C42AF" w:rsidRPr="00E60584">
        <w:rPr>
          <w:rFonts w:ascii="Goudy Old Style" w:hAnsi="Goudy Old Style" w:cs="David" w:hint="cs"/>
          <w:b/>
          <w:bCs/>
          <w:sz w:val="28"/>
          <w:szCs w:val="28"/>
          <w:rtl/>
        </w:rPr>
        <w:t xml:space="preserve">        </w:t>
      </w:r>
      <w:r w:rsidR="00C16DB9" w:rsidRPr="00E60584">
        <w:rPr>
          <w:rFonts w:ascii="Goudy Old Style" w:hAnsi="Goudy Old Style" w:cs="David" w:hint="cs"/>
          <w:b/>
          <w:bCs/>
          <w:sz w:val="28"/>
          <w:szCs w:val="28"/>
          <w:rtl/>
        </w:rPr>
        <w:t xml:space="preserve">  </w:t>
      </w:r>
      <w:r w:rsidR="008C42AF" w:rsidRPr="00C163E1">
        <w:rPr>
          <w:rFonts w:ascii="Goudy Old Style" w:hAnsi="Goudy Old Style" w:cs="David" w:hint="cs"/>
          <w:rtl/>
        </w:rPr>
        <w:t>(ה</w:t>
      </w:r>
      <w:r w:rsidR="006F04A8">
        <w:rPr>
          <w:rFonts w:ascii="Goudy Old Style" w:hAnsi="Goudy Old Style" w:cs="David" w:hint="cs"/>
          <w:rtl/>
        </w:rPr>
        <w:t>תובע בביהמ"ש קמא)</w:t>
      </w:r>
    </w:p>
    <w:p w14:paraId="74D8244F" w14:textId="2021DE14" w:rsidR="006E2370" w:rsidRPr="006F04A8" w:rsidRDefault="006E2370" w:rsidP="006F04A8">
      <w:pPr>
        <w:spacing w:line="360" w:lineRule="auto"/>
        <w:jc w:val="both"/>
        <w:rPr>
          <w:rFonts w:ascii="Goudy Old Style" w:hAnsi="Goudy Old Style" w:cs="David"/>
          <w:rtl/>
        </w:rPr>
      </w:pPr>
      <w:r>
        <w:rPr>
          <w:rFonts w:ascii="Goudy Old Style" w:hAnsi="Goudy Old Style" w:cs="David"/>
          <w:rtl/>
        </w:rPr>
        <w:tab/>
      </w:r>
      <w:r>
        <w:rPr>
          <w:rFonts w:ascii="Goudy Old Style" w:hAnsi="Goudy Old Style" w:cs="David"/>
          <w:rtl/>
        </w:rPr>
        <w:tab/>
      </w:r>
      <w:r>
        <w:rPr>
          <w:rFonts w:ascii="Goudy Old Style" w:hAnsi="Goudy Old Style" w:cs="David"/>
          <w:rtl/>
        </w:rPr>
        <w:tab/>
      </w:r>
      <w:r>
        <w:rPr>
          <w:rFonts w:ascii="Goudy Old Style" w:hAnsi="Goudy Old Style" w:cs="David" w:hint="cs"/>
          <w:rtl/>
        </w:rPr>
        <w:t>מכפר עורתא (רשות פלסטינית)</w:t>
      </w:r>
    </w:p>
    <w:p w14:paraId="074543CA" w14:textId="7C5C585C" w:rsidR="00C6169C" w:rsidRPr="00C163E1" w:rsidRDefault="000A4A21" w:rsidP="00A3516A">
      <w:pPr>
        <w:spacing w:line="360" w:lineRule="auto"/>
        <w:ind w:left="1440" w:firstLine="720"/>
        <w:jc w:val="both"/>
        <w:rPr>
          <w:rFonts w:ascii="Goudy Old Style" w:hAnsi="Goudy Old Style" w:cs="David"/>
          <w:rtl/>
        </w:rPr>
      </w:pPr>
      <w:r>
        <w:rPr>
          <w:rFonts w:ascii="Goudy Old Style" w:hAnsi="Goudy Old Style" w:cs="David" w:hint="cs"/>
          <w:rtl/>
        </w:rPr>
        <w:t xml:space="preserve">באמצעות </w:t>
      </w:r>
      <w:r w:rsidR="00C6169C" w:rsidRPr="00C163E1">
        <w:rPr>
          <w:rFonts w:ascii="Goudy Old Style" w:hAnsi="Goudy Old Style" w:cs="David" w:hint="cs"/>
          <w:rtl/>
        </w:rPr>
        <w:t xml:space="preserve">ב"כ עוה"ד </w:t>
      </w:r>
      <w:r w:rsidR="006F04A8">
        <w:rPr>
          <w:rFonts w:ascii="Goudy Old Style" w:hAnsi="Goudy Old Style" w:cs="David" w:hint="cs"/>
          <w:rtl/>
        </w:rPr>
        <w:t>מ. רוט</w:t>
      </w:r>
      <w:r w:rsidR="00C6169C" w:rsidRPr="00C163E1">
        <w:rPr>
          <w:rFonts w:ascii="Goudy Old Style" w:hAnsi="Goudy Old Style" w:cs="David" w:hint="cs"/>
          <w:rtl/>
        </w:rPr>
        <w:t xml:space="preserve"> ואח'</w:t>
      </w:r>
    </w:p>
    <w:p w14:paraId="07465243" w14:textId="01269900" w:rsidR="00C6169C" w:rsidRPr="006F04A8" w:rsidRDefault="006F04A8" w:rsidP="00A3516A">
      <w:pPr>
        <w:spacing w:line="360" w:lineRule="auto"/>
        <w:ind w:left="1440" w:firstLine="720"/>
        <w:jc w:val="both"/>
        <w:rPr>
          <w:rFonts w:ascii="Goudy Old Style" w:hAnsi="Goudy Old Style" w:cs="David"/>
          <w:rtl/>
        </w:rPr>
      </w:pPr>
      <w:r>
        <w:rPr>
          <w:rFonts w:ascii="Goudy Old Style" w:hAnsi="Goudy Old Style" w:cs="David" w:hint="cs"/>
          <w:rtl/>
        </w:rPr>
        <w:t>מרחוב</w:t>
      </w:r>
      <w:r w:rsidR="00C6169C" w:rsidRPr="00C163E1">
        <w:rPr>
          <w:rFonts w:ascii="Goudy Old Style" w:hAnsi="Goudy Old Style" w:cs="David" w:hint="cs"/>
          <w:rtl/>
        </w:rPr>
        <w:t xml:space="preserve"> </w:t>
      </w:r>
      <w:r>
        <w:rPr>
          <w:rFonts w:ascii="Goudy Old Style" w:hAnsi="Goudy Old Style" w:cs="David" w:hint="cs"/>
          <w:rtl/>
        </w:rPr>
        <w:t>מוטה גור</w:t>
      </w:r>
      <w:r w:rsidR="00C6169C" w:rsidRPr="00C163E1">
        <w:rPr>
          <w:rFonts w:ascii="Goudy Old Style" w:hAnsi="Goudy Old Style" w:cs="David" w:hint="cs"/>
          <w:rtl/>
        </w:rPr>
        <w:t xml:space="preserve"> </w:t>
      </w:r>
      <w:r>
        <w:rPr>
          <w:rFonts w:ascii="Goudy Old Style" w:hAnsi="Goudy Old Style" w:cs="David" w:hint="cs"/>
          <w:rtl/>
        </w:rPr>
        <w:t>9</w:t>
      </w:r>
      <w:r w:rsidR="00C6169C" w:rsidRPr="00C163E1">
        <w:rPr>
          <w:rFonts w:ascii="Goudy Old Style" w:hAnsi="Goudy Old Style" w:cs="David" w:hint="cs"/>
          <w:rtl/>
        </w:rPr>
        <w:t xml:space="preserve">, </w:t>
      </w:r>
      <w:r>
        <w:rPr>
          <w:rFonts w:ascii="Goudy Old Style" w:hAnsi="Goudy Old Style" w:cs="David" w:hint="cs"/>
          <w:rtl/>
        </w:rPr>
        <w:t>פתח תקווה</w:t>
      </w:r>
      <w:r w:rsidR="00C6169C" w:rsidRPr="00C163E1">
        <w:rPr>
          <w:rFonts w:ascii="Goudy Old Style" w:hAnsi="Goudy Old Style" w:cs="David" w:hint="cs"/>
          <w:rtl/>
        </w:rPr>
        <w:t xml:space="preserve"> </w:t>
      </w:r>
      <w:r w:rsidRPr="006F04A8">
        <w:rPr>
          <w:rFonts w:ascii="Goudy Old Style" w:hAnsi="Goudy Old Style" w:cs="David"/>
          <w:rtl/>
        </w:rPr>
        <w:t>4952802</w:t>
      </w:r>
    </w:p>
    <w:p w14:paraId="2FCE7875" w14:textId="6CEA79A2" w:rsidR="00C6169C" w:rsidRPr="00C163E1" w:rsidRDefault="00C6169C" w:rsidP="00A3516A">
      <w:pPr>
        <w:spacing w:line="360" w:lineRule="auto"/>
        <w:ind w:left="1440" w:firstLine="720"/>
        <w:jc w:val="both"/>
        <w:rPr>
          <w:rFonts w:ascii="Goudy Old Style" w:hAnsi="Goudy Old Style" w:cs="David"/>
          <w:rtl/>
        </w:rPr>
      </w:pPr>
      <w:r w:rsidRPr="00C163E1">
        <w:rPr>
          <w:rFonts w:ascii="Goudy Old Style" w:hAnsi="Goudy Old Style" w:cs="David" w:hint="cs"/>
          <w:rtl/>
        </w:rPr>
        <w:t xml:space="preserve">טל': </w:t>
      </w:r>
      <w:r w:rsidR="00017396">
        <w:rPr>
          <w:rFonts w:ascii="Goudy Old Style" w:hAnsi="Goudy Old Style" w:cs="David" w:hint="cs"/>
          <w:rtl/>
        </w:rPr>
        <w:t>03-5788780</w:t>
      </w:r>
      <w:r w:rsidRPr="00C163E1">
        <w:rPr>
          <w:rFonts w:ascii="Goudy Old Style" w:hAnsi="Goudy Old Style" w:cs="David" w:hint="cs"/>
          <w:rtl/>
        </w:rPr>
        <w:t xml:space="preserve">, פקס: </w:t>
      </w:r>
      <w:r w:rsidR="00017396" w:rsidRPr="00017396">
        <w:rPr>
          <w:rFonts w:ascii="Goudy Old Style" w:hAnsi="Goudy Old Style" w:cs="David"/>
          <w:rtl/>
        </w:rPr>
        <w:t>03-5788784</w:t>
      </w:r>
    </w:p>
    <w:p w14:paraId="1EEFE91D" w14:textId="261453D9" w:rsidR="00C6169C" w:rsidRPr="00017396" w:rsidRDefault="004B25C0" w:rsidP="00A3516A">
      <w:pPr>
        <w:spacing w:line="360" w:lineRule="auto"/>
        <w:ind w:left="1440" w:firstLine="720"/>
        <w:jc w:val="both"/>
        <w:rPr>
          <w:rFonts w:ascii="Goudy Old Style" w:hAnsi="Goudy Old Style" w:cs="David"/>
          <w:rtl/>
        </w:rPr>
      </w:pPr>
      <w:r w:rsidRPr="00C163E1">
        <w:rPr>
          <w:rFonts w:ascii="David" w:hAnsi="David" w:cs="David"/>
          <w:rtl/>
        </w:rPr>
        <w:t xml:space="preserve">דוא"ל: </w:t>
      </w:r>
      <w:r w:rsidR="00017396" w:rsidRPr="00017396">
        <w:t>yairot22@gmail.com</w:t>
      </w:r>
    </w:p>
    <w:bookmarkEnd w:id="0"/>
    <w:bookmarkEnd w:id="2"/>
    <w:p w14:paraId="00FF0AA3" w14:textId="3B807B3B" w:rsidR="00B34965" w:rsidRPr="00EB7D65" w:rsidRDefault="000A4C9F" w:rsidP="006E2370">
      <w:pPr>
        <w:spacing w:line="360" w:lineRule="auto"/>
        <w:ind w:left="1440" w:firstLine="720"/>
        <w:rPr>
          <w:rFonts w:ascii="David" w:hAnsi="David" w:cs="David"/>
          <w:rtl/>
        </w:rPr>
      </w:pPr>
      <w:r w:rsidRPr="00C163E1">
        <w:rPr>
          <w:rFonts w:cs="David" w:hint="cs"/>
          <w:b/>
          <w:bCs/>
          <w:sz w:val="52"/>
          <w:szCs w:val="52"/>
          <w:u w:val="single"/>
          <w:rtl/>
        </w:rPr>
        <w:t>הודעת ערעור</w:t>
      </w:r>
      <w:r w:rsidR="00623F5B" w:rsidRPr="00C163E1">
        <w:rPr>
          <w:rFonts w:cs="David" w:hint="cs"/>
          <w:b/>
          <w:bCs/>
          <w:sz w:val="52"/>
          <w:szCs w:val="52"/>
          <w:u w:val="single"/>
          <w:rtl/>
        </w:rPr>
        <w:t xml:space="preserve"> </w:t>
      </w:r>
      <w:r w:rsidR="00623F5B" w:rsidRPr="00C163E1">
        <w:rPr>
          <w:rFonts w:ascii="David" w:hAnsi="David" w:cs="David" w:hint="cs"/>
          <w:rtl/>
        </w:rPr>
        <w:t xml:space="preserve"> </w:t>
      </w:r>
    </w:p>
    <w:p w14:paraId="2FB5E3CF" w14:textId="1A87FDBD" w:rsidR="000A4C9F" w:rsidRPr="00C163E1" w:rsidRDefault="000A4A21" w:rsidP="00283F02">
      <w:pPr>
        <w:spacing w:line="360" w:lineRule="auto"/>
        <w:rPr>
          <w:rFonts w:ascii="David" w:hAnsi="David" w:cs="David"/>
          <w:b/>
          <w:bCs/>
          <w:rtl/>
        </w:rPr>
      </w:pPr>
      <w:r>
        <w:rPr>
          <w:rFonts w:ascii="David" w:hAnsi="David" w:cs="David" w:hint="cs"/>
          <w:b/>
          <w:bCs/>
          <w:rtl/>
        </w:rPr>
        <w:t>המערערים</w:t>
      </w:r>
      <w:r w:rsidR="00A12DD8">
        <w:rPr>
          <w:rFonts w:ascii="David" w:hAnsi="David" w:cs="David" w:hint="cs"/>
          <w:b/>
          <w:bCs/>
          <w:rtl/>
        </w:rPr>
        <w:t xml:space="preserve"> </w:t>
      </w:r>
      <w:r>
        <w:rPr>
          <w:rFonts w:ascii="David" w:hAnsi="David" w:cs="David" w:hint="cs"/>
          <w:b/>
          <w:bCs/>
          <w:rtl/>
        </w:rPr>
        <w:t>מתכבדים להגיש</w:t>
      </w:r>
      <w:r w:rsidR="0090300B" w:rsidRPr="00C163E1">
        <w:rPr>
          <w:rFonts w:ascii="David" w:hAnsi="David" w:cs="David" w:hint="cs"/>
          <w:b/>
          <w:bCs/>
          <w:rtl/>
        </w:rPr>
        <w:t xml:space="preserve"> ערעור זה </w:t>
      </w:r>
      <w:r w:rsidR="00974F9B" w:rsidRPr="00C163E1">
        <w:rPr>
          <w:rFonts w:ascii="David" w:hAnsi="David" w:cs="David" w:hint="cs"/>
          <w:b/>
          <w:bCs/>
          <w:rtl/>
        </w:rPr>
        <w:t>לבית המשפט הנכבד כדלהלן:</w:t>
      </w:r>
    </w:p>
    <w:p w14:paraId="770719E9" w14:textId="57B19E60" w:rsidR="0090300B" w:rsidRPr="00C163E1" w:rsidRDefault="00FD12FF" w:rsidP="008F13CB">
      <w:pPr>
        <w:spacing w:line="360" w:lineRule="auto"/>
        <w:rPr>
          <w:rFonts w:ascii="David" w:hAnsi="David" w:cs="David"/>
          <w:rtl/>
        </w:rPr>
      </w:pPr>
      <w:r w:rsidRPr="0048383D">
        <w:rPr>
          <w:rFonts w:ascii="David" w:hAnsi="David" w:cs="David" w:hint="cs"/>
          <w:b/>
          <w:bCs/>
          <w:rtl/>
        </w:rPr>
        <w:t>סוג ההליך</w:t>
      </w:r>
      <w:r w:rsidRPr="0048383D">
        <w:rPr>
          <w:rFonts w:ascii="David" w:hAnsi="David" w:cs="David" w:hint="cs"/>
          <w:rtl/>
        </w:rPr>
        <w:t>: ערעור</w:t>
      </w:r>
      <w:r w:rsidR="008F13CB" w:rsidRPr="0048383D">
        <w:rPr>
          <w:rFonts w:ascii="David" w:hAnsi="David" w:cs="David" w:hint="cs"/>
          <w:rtl/>
        </w:rPr>
        <w:t xml:space="preserve"> על</w:t>
      </w:r>
      <w:r w:rsidR="0048383D" w:rsidRPr="0048383D">
        <w:rPr>
          <w:rFonts w:ascii="David" w:hAnsi="David" w:cs="David" w:hint="cs"/>
          <w:rtl/>
        </w:rPr>
        <w:t xml:space="preserve"> פסק דין בהליך</w:t>
      </w:r>
      <w:r w:rsidRPr="0048383D">
        <w:rPr>
          <w:rFonts w:ascii="David" w:hAnsi="David" w:cs="David" w:hint="cs"/>
          <w:rtl/>
        </w:rPr>
        <w:t xml:space="preserve"> </w:t>
      </w:r>
      <w:r w:rsidR="008F13CB" w:rsidRPr="0048383D">
        <w:rPr>
          <w:rFonts w:ascii="David" w:hAnsi="David" w:cs="David" w:hint="cs"/>
          <w:rtl/>
        </w:rPr>
        <w:t>ת.א. 35630-04-21</w:t>
      </w:r>
      <w:bookmarkStart w:id="3" w:name="_Hlk210898812"/>
      <w:r w:rsidRPr="0048383D">
        <w:rPr>
          <w:rFonts w:ascii="David" w:hAnsi="David" w:cs="David" w:hint="cs"/>
          <w:rtl/>
        </w:rPr>
        <w:t>.</w:t>
      </w:r>
      <w:bookmarkEnd w:id="3"/>
    </w:p>
    <w:p w14:paraId="4ACA848D" w14:textId="59BC82F6" w:rsidR="00974F9B" w:rsidRPr="00C163E1" w:rsidRDefault="00974F9B" w:rsidP="00A3516A">
      <w:pPr>
        <w:spacing w:line="360" w:lineRule="auto"/>
        <w:rPr>
          <w:rFonts w:ascii="David" w:hAnsi="David" w:cs="David"/>
          <w:rtl/>
        </w:rPr>
      </w:pPr>
      <w:r w:rsidRPr="00C163E1">
        <w:rPr>
          <w:rFonts w:ascii="David" w:hAnsi="David" w:cs="David" w:hint="cs"/>
          <w:b/>
          <w:bCs/>
          <w:rtl/>
        </w:rPr>
        <w:t>הערכאה עליה מערערים</w:t>
      </w:r>
      <w:r w:rsidRPr="00C163E1">
        <w:rPr>
          <w:rFonts w:ascii="David" w:hAnsi="David" w:cs="David" w:hint="cs"/>
          <w:rtl/>
        </w:rPr>
        <w:t>: בית המשפט המחוזי מרכז, כב' השופט</w:t>
      </w:r>
      <w:r w:rsidR="008F13CB">
        <w:rPr>
          <w:rFonts w:ascii="David" w:hAnsi="David" w:cs="David" w:hint="cs"/>
          <w:rtl/>
        </w:rPr>
        <w:t>ת</w:t>
      </w:r>
      <w:r w:rsidRPr="00C163E1">
        <w:rPr>
          <w:rFonts w:ascii="David" w:hAnsi="David" w:cs="David" w:hint="cs"/>
          <w:rtl/>
        </w:rPr>
        <w:t xml:space="preserve"> </w:t>
      </w:r>
      <w:r w:rsidR="008F13CB">
        <w:rPr>
          <w:rFonts w:ascii="David" w:hAnsi="David" w:cs="David" w:hint="cs"/>
          <w:rtl/>
        </w:rPr>
        <w:t>מ</w:t>
      </w:r>
      <w:r w:rsidRPr="00C163E1">
        <w:rPr>
          <w:rFonts w:ascii="David" w:hAnsi="David" w:cs="David" w:hint="cs"/>
          <w:rtl/>
        </w:rPr>
        <w:t xml:space="preserve">. </w:t>
      </w:r>
      <w:r w:rsidR="008F13CB">
        <w:rPr>
          <w:rFonts w:ascii="David" w:hAnsi="David" w:cs="David" w:hint="cs"/>
          <w:rtl/>
        </w:rPr>
        <w:t>בן ארי</w:t>
      </w:r>
      <w:r w:rsidRPr="00C163E1">
        <w:rPr>
          <w:rFonts w:ascii="David" w:hAnsi="David" w:cs="David" w:hint="cs"/>
          <w:rtl/>
        </w:rPr>
        <w:t>.</w:t>
      </w:r>
    </w:p>
    <w:p w14:paraId="6A378155" w14:textId="71C0A082" w:rsidR="00FD12FF" w:rsidRPr="00C163E1" w:rsidRDefault="00FD12FF" w:rsidP="00A3516A">
      <w:pPr>
        <w:spacing w:line="360" w:lineRule="auto"/>
        <w:rPr>
          <w:rFonts w:ascii="David" w:hAnsi="David" w:cs="David"/>
          <w:rtl/>
        </w:rPr>
      </w:pPr>
      <w:r w:rsidRPr="00C163E1">
        <w:rPr>
          <w:rFonts w:ascii="David" w:hAnsi="David" w:cs="David" w:hint="cs"/>
          <w:b/>
          <w:bCs/>
          <w:rtl/>
        </w:rPr>
        <w:t>סוג ההליך ומספר תיק עליו מוגש הערעור</w:t>
      </w:r>
      <w:r w:rsidRPr="00C163E1">
        <w:rPr>
          <w:rFonts w:ascii="David" w:hAnsi="David" w:cs="David" w:hint="cs"/>
          <w:rtl/>
        </w:rPr>
        <w:t xml:space="preserve">: ת.א. </w:t>
      </w:r>
      <w:r w:rsidR="008F13CB">
        <w:rPr>
          <w:rFonts w:ascii="David" w:hAnsi="David" w:cs="David" w:hint="cs"/>
          <w:rtl/>
        </w:rPr>
        <w:t>35630</w:t>
      </w:r>
      <w:r w:rsidRPr="00C163E1">
        <w:rPr>
          <w:rFonts w:ascii="David" w:hAnsi="David" w:cs="David" w:hint="cs"/>
          <w:rtl/>
        </w:rPr>
        <w:t>-</w:t>
      </w:r>
      <w:r w:rsidR="008F13CB">
        <w:rPr>
          <w:rFonts w:ascii="David" w:hAnsi="David" w:cs="David" w:hint="cs"/>
          <w:rtl/>
        </w:rPr>
        <w:t>04</w:t>
      </w:r>
      <w:r w:rsidRPr="00C163E1">
        <w:rPr>
          <w:rFonts w:ascii="David" w:hAnsi="David" w:cs="David" w:hint="cs"/>
          <w:rtl/>
        </w:rPr>
        <w:t>-</w:t>
      </w:r>
      <w:r w:rsidR="008F13CB">
        <w:rPr>
          <w:rFonts w:ascii="David" w:hAnsi="David" w:cs="David" w:hint="cs"/>
          <w:rtl/>
        </w:rPr>
        <w:t>21</w:t>
      </w:r>
      <w:r w:rsidRPr="00C163E1">
        <w:rPr>
          <w:rFonts w:ascii="David" w:hAnsi="David" w:cs="David" w:hint="cs"/>
          <w:rtl/>
        </w:rPr>
        <w:t xml:space="preserve">. </w:t>
      </w:r>
    </w:p>
    <w:p w14:paraId="3BBFD151" w14:textId="7D182466" w:rsidR="00E636DE" w:rsidRPr="00C163E1" w:rsidRDefault="00FD12FF" w:rsidP="008F13CB">
      <w:pPr>
        <w:spacing w:line="360" w:lineRule="auto"/>
        <w:rPr>
          <w:rFonts w:ascii="David" w:hAnsi="David" w:cs="David"/>
          <w:b/>
          <w:bCs/>
          <w:rtl/>
        </w:rPr>
      </w:pPr>
      <w:r w:rsidRPr="00C163E1">
        <w:rPr>
          <w:rFonts w:ascii="David" w:hAnsi="David" w:cs="David" w:hint="cs"/>
          <w:b/>
          <w:bCs/>
          <w:rtl/>
        </w:rPr>
        <w:t xml:space="preserve">מועד </w:t>
      </w:r>
      <w:r w:rsidR="00E636DE" w:rsidRPr="00C163E1">
        <w:rPr>
          <w:rFonts w:ascii="David" w:hAnsi="David" w:cs="David" w:hint="cs"/>
          <w:b/>
          <w:bCs/>
          <w:rtl/>
        </w:rPr>
        <w:t xml:space="preserve">מתן </w:t>
      </w:r>
      <w:r w:rsidR="0090300B" w:rsidRPr="00C163E1">
        <w:rPr>
          <w:rFonts w:ascii="David" w:hAnsi="David" w:cs="David" w:hint="cs"/>
          <w:b/>
          <w:bCs/>
          <w:rtl/>
        </w:rPr>
        <w:t>פסק הדין</w:t>
      </w:r>
      <w:r w:rsidR="00E636DE" w:rsidRPr="00C163E1">
        <w:rPr>
          <w:rFonts w:ascii="David" w:hAnsi="David" w:cs="David" w:hint="cs"/>
          <w:b/>
          <w:bCs/>
          <w:rtl/>
        </w:rPr>
        <w:t>:</w:t>
      </w:r>
      <w:r w:rsidR="00E636DE" w:rsidRPr="00C163E1">
        <w:rPr>
          <w:rFonts w:ascii="David" w:hAnsi="David" w:cs="David" w:hint="cs"/>
          <w:rtl/>
        </w:rPr>
        <w:t xml:space="preserve"> </w:t>
      </w:r>
      <w:r w:rsidR="008F13CB">
        <w:rPr>
          <w:rFonts w:ascii="David" w:hAnsi="David" w:cs="David" w:hint="cs"/>
          <w:b/>
          <w:bCs/>
          <w:rtl/>
        </w:rPr>
        <w:t>12</w:t>
      </w:r>
      <w:r w:rsidR="00E636DE" w:rsidRPr="00513587">
        <w:rPr>
          <w:rFonts w:ascii="David" w:hAnsi="David" w:cs="David" w:hint="cs"/>
          <w:b/>
          <w:bCs/>
          <w:rtl/>
        </w:rPr>
        <w:t>.</w:t>
      </w:r>
      <w:r w:rsidR="008F13CB">
        <w:rPr>
          <w:rFonts w:ascii="David" w:hAnsi="David" w:cs="David" w:hint="cs"/>
          <w:b/>
          <w:bCs/>
          <w:rtl/>
        </w:rPr>
        <w:t>6</w:t>
      </w:r>
      <w:r w:rsidR="00E636DE" w:rsidRPr="00513587">
        <w:rPr>
          <w:rFonts w:ascii="David" w:hAnsi="David" w:cs="David" w:hint="cs"/>
          <w:b/>
          <w:bCs/>
          <w:rtl/>
        </w:rPr>
        <w:t>.</w:t>
      </w:r>
      <w:r w:rsidR="008F13CB">
        <w:rPr>
          <w:rFonts w:ascii="David" w:hAnsi="David" w:cs="David" w:hint="cs"/>
          <w:b/>
          <w:bCs/>
          <w:rtl/>
        </w:rPr>
        <w:t>25</w:t>
      </w:r>
      <w:r w:rsidR="00E636DE" w:rsidRPr="00C163E1">
        <w:rPr>
          <w:rFonts w:ascii="David" w:hAnsi="David" w:cs="David" w:hint="cs"/>
          <w:b/>
          <w:bCs/>
          <w:rtl/>
        </w:rPr>
        <w:t xml:space="preserve">  </w:t>
      </w:r>
    </w:p>
    <w:p w14:paraId="70C0A081" w14:textId="79C9A2F0" w:rsidR="0090300B" w:rsidRPr="00C163E1" w:rsidRDefault="00E636DE" w:rsidP="008F13CB">
      <w:pPr>
        <w:spacing w:line="360" w:lineRule="auto"/>
        <w:rPr>
          <w:rFonts w:ascii="David" w:hAnsi="David" w:cs="David"/>
          <w:rtl/>
        </w:rPr>
      </w:pPr>
      <w:r w:rsidRPr="00C163E1">
        <w:rPr>
          <w:rFonts w:ascii="David" w:hAnsi="David" w:cs="David" w:hint="cs"/>
          <w:b/>
          <w:bCs/>
          <w:rtl/>
        </w:rPr>
        <w:t xml:space="preserve">מועד המצאת פסק הדין: </w:t>
      </w:r>
      <w:r w:rsidRPr="00C163E1">
        <w:rPr>
          <w:rFonts w:ascii="David" w:hAnsi="David" w:cs="David" w:hint="cs"/>
          <w:rtl/>
        </w:rPr>
        <w:t xml:space="preserve">פסק הדין הומצא </w:t>
      </w:r>
      <w:r w:rsidR="00AB52EA">
        <w:rPr>
          <w:rFonts w:ascii="David" w:hAnsi="David" w:cs="David" w:hint="cs"/>
          <w:rtl/>
        </w:rPr>
        <w:t>14</w:t>
      </w:r>
      <w:r w:rsidRPr="00C163E1">
        <w:rPr>
          <w:rFonts w:ascii="David" w:hAnsi="David" w:cs="David" w:hint="cs"/>
          <w:rtl/>
        </w:rPr>
        <w:t>.</w:t>
      </w:r>
      <w:r w:rsidR="008F13CB">
        <w:rPr>
          <w:rFonts w:ascii="David" w:hAnsi="David" w:cs="David" w:hint="cs"/>
          <w:rtl/>
        </w:rPr>
        <w:t>6</w:t>
      </w:r>
      <w:r w:rsidRPr="00C163E1">
        <w:rPr>
          <w:rFonts w:ascii="David" w:hAnsi="David" w:cs="David" w:hint="cs"/>
          <w:rtl/>
        </w:rPr>
        <w:t>.</w:t>
      </w:r>
      <w:r w:rsidR="008F13CB">
        <w:rPr>
          <w:rFonts w:ascii="David" w:hAnsi="David" w:cs="David" w:hint="cs"/>
          <w:rtl/>
        </w:rPr>
        <w:t>25</w:t>
      </w:r>
      <w:r w:rsidRPr="00C163E1">
        <w:rPr>
          <w:rFonts w:ascii="David" w:hAnsi="David" w:cs="David" w:hint="cs"/>
          <w:rtl/>
        </w:rPr>
        <w:t xml:space="preserve"> </w:t>
      </w:r>
    </w:p>
    <w:p w14:paraId="1BDF95C6" w14:textId="6D22AA9A" w:rsidR="0090300B" w:rsidRPr="00C163E1" w:rsidRDefault="00E636DE" w:rsidP="00E60584">
      <w:pPr>
        <w:spacing w:line="360" w:lineRule="auto"/>
        <w:ind w:right="-284"/>
        <w:rPr>
          <w:rFonts w:ascii="David" w:hAnsi="David" w:cs="David"/>
          <w:rtl/>
        </w:rPr>
      </w:pPr>
      <w:r w:rsidRPr="00C163E1">
        <w:rPr>
          <w:rFonts w:ascii="David" w:hAnsi="David" w:cs="David" w:hint="cs"/>
          <w:b/>
          <w:bCs/>
          <w:rtl/>
        </w:rPr>
        <w:t>המותב המוסמך לדון בערעור</w:t>
      </w:r>
      <w:r w:rsidRPr="00C163E1">
        <w:rPr>
          <w:rFonts w:ascii="David" w:hAnsi="David" w:cs="David" w:hint="cs"/>
          <w:rtl/>
        </w:rPr>
        <w:t xml:space="preserve">: </w:t>
      </w:r>
      <w:r w:rsidR="000E69BC">
        <w:rPr>
          <w:rFonts w:ascii="David" w:hAnsi="David" w:cs="David" w:hint="cs"/>
          <w:rtl/>
        </w:rPr>
        <w:t>מותב תלתא</w:t>
      </w:r>
      <w:r w:rsidRPr="00C163E1">
        <w:rPr>
          <w:rFonts w:ascii="David" w:hAnsi="David" w:cs="David" w:hint="cs"/>
          <w:rtl/>
        </w:rPr>
        <w:t xml:space="preserve"> לפי </w:t>
      </w:r>
      <w:r w:rsidR="0090300B" w:rsidRPr="00C163E1">
        <w:rPr>
          <w:rFonts w:ascii="David" w:hAnsi="David" w:cs="David" w:hint="cs"/>
          <w:rtl/>
        </w:rPr>
        <w:t xml:space="preserve">סעיף </w:t>
      </w:r>
      <w:r w:rsidR="004F50DE">
        <w:rPr>
          <w:rFonts w:ascii="David" w:hAnsi="David" w:cs="David" w:hint="cs"/>
          <w:rtl/>
        </w:rPr>
        <w:t>41</w:t>
      </w:r>
      <w:r w:rsidR="005074CA">
        <w:rPr>
          <w:rFonts w:ascii="David" w:hAnsi="David" w:cs="David" w:hint="cs"/>
          <w:rtl/>
        </w:rPr>
        <w:t>(</w:t>
      </w:r>
      <w:r w:rsidR="007701D0" w:rsidRPr="00C163E1">
        <w:rPr>
          <w:rFonts w:ascii="David" w:hAnsi="David" w:cs="David" w:hint="cs"/>
          <w:rtl/>
        </w:rPr>
        <w:t>א) לחוק בתי המשפט [נוסח משולב], תשמ"ד - 1984.</w:t>
      </w:r>
    </w:p>
    <w:p w14:paraId="65638789" w14:textId="65F7C789" w:rsidR="00041CBD" w:rsidRPr="00041CBD" w:rsidRDefault="0090300B" w:rsidP="00041CBD">
      <w:pPr>
        <w:spacing w:line="360" w:lineRule="auto"/>
        <w:rPr>
          <w:rFonts w:ascii="David" w:hAnsi="David" w:cs="David"/>
          <w:rtl/>
        </w:rPr>
      </w:pPr>
      <w:r w:rsidRPr="00C163E1">
        <w:rPr>
          <w:rFonts w:ascii="David" w:hAnsi="David" w:cs="David" w:hint="cs"/>
          <w:b/>
          <w:bCs/>
          <w:rtl/>
        </w:rPr>
        <w:t>סכום האגרה</w:t>
      </w:r>
      <w:r w:rsidRPr="00C163E1">
        <w:rPr>
          <w:rFonts w:ascii="David" w:hAnsi="David" w:cs="David" w:hint="cs"/>
          <w:rtl/>
        </w:rPr>
        <w:t>:</w:t>
      </w:r>
      <w:r w:rsidR="00A9392B" w:rsidRPr="00C163E1">
        <w:rPr>
          <w:rFonts w:ascii="David" w:hAnsi="David" w:cs="David" w:hint="cs"/>
          <w:rtl/>
        </w:rPr>
        <w:t xml:space="preserve">  </w:t>
      </w:r>
      <w:r w:rsidR="009379DD" w:rsidRPr="009379DD">
        <w:rPr>
          <w:rFonts w:ascii="David" w:hAnsi="David" w:cs="David"/>
          <w:rtl/>
        </w:rPr>
        <w:t>3,454</w:t>
      </w:r>
      <w:r w:rsidR="005074CA">
        <w:rPr>
          <w:rFonts w:ascii="David" w:hAnsi="David" w:cs="David" w:hint="cs"/>
          <w:rtl/>
        </w:rPr>
        <w:t xml:space="preserve"> </w:t>
      </w:r>
      <w:r w:rsidRPr="00C163E1">
        <w:rPr>
          <w:rFonts w:ascii="David" w:hAnsi="David" w:cs="David" w:hint="cs"/>
          <w:rtl/>
        </w:rPr>
        <w:t xml:space="preserve">₪ </w:t>
      </w:r>
      <w:r w:rsidR="00041CBD" w:rsidRPr="00041CBD">
        <w:rPr>
          <w:rFonts w:ascii="David" w:hAnsi="David" w:cs="David" w:hint="eastAsia"/>
          <w:rtl/>
        </w:rPr>
        <w:t>לפי</w:t>
      </w:r>
      <w:r w:rsidR="00041CBD" w:rsidRPr="00041CBD">
        <w:rPr>
          <w:rFonts w:ascii="David" w:hAnsi="David" w:cs="David"/>
          <w:rtl/>
        </w:rPr>
        <w:t xml:space="preserve"> </w:t>
      </w:r>
      <w:r w:rsidR="00041CBD" w:rsidRPr="00041CBD">
        <w:rPr>
          <w:rFonts w:ascii="David" w:hAnsi="David" w:cs="David" w:hint="eastAsia"/>
          <w:rtl/>
        </w:rPr>
        <w:t>פרט</w:t>
      </w:r>
      <w:r w:rsidR="00041CBD" w:rsidRPr="00041CBD">
        <w:rPr>
          <w:rFonts w:ascii="David" w:hAnsi="David" w:cs="David"/>
          <w:rtl/>
        </w:rPr>
        <w:t xml:space="preserve"> 27 </w:t>
      </w:r>
      <w:r w:rsidR="00041CBD" w:rsidRPr="00041CBD">
        <w:rPr>
          <w:rFonts w:ascii="David" w:hAnsi="David" w:cs="David" w:hint="eastAsia"/>
          <w:rtl/>
        </w:rPr>
        <w:t>לתוספת</w:t>
      </w:r>
      <w:r w:rsidR="00041CBD" w:rsidRPr="00041CBD">
        <w:rPr>
          <w:rFonts w:ascii="David" w:hAnsi="David" w:cs="David"/>
          <w:rtl/>
        </w:rPr>
        <w:t xml:space="preserve"> (</w:t>
      </w:r>
      <w:r w:rsidR="00041CBD" w:rsidRPr="00041CBD">
        <w:rPr>
          <w:rFonts w:ascii="David" w:hAnsi="David" w:cs="David" w:hint="eastAsia"/>
          <w:rtl/>
        </w:rPr>
        <w:t>תקנה</w:t>
      </w:r>
      <w:r w:rsidR="00041CBD" w:rsidRPr="00041CBD">
        <w:rPr>
          <w:rFonts w:ascii="David" w:hAnsi="David" w:cs="David"/>
          <w:rtl/>
        </w:rPr>
        <w:t xml:space="preserve"> 2) </w:t>
      </w:r>
      <w:r w:rsidR="00041CBD" w:rsidRPr="00041CBD">
        <w:rPr>
          <w:rFonts w:ascii="David" w:hAnsi="David" w:cs="David" w:hint="eastAsia"/>
          <w:rtl/>
        </w:rPr>
        <w:t>לתקנות</w:t>
      </w:r>
      <w:r w:rsidR="00041CBD" w:rsidRPr="00041CBD">
        <w:rPr>
          <w:rFonts w:ascii="David" w:hAnsi="David" w:cs="David"/>
          <w:rtl/>
        </w:rPr>
        <w:t xml:space="preserve"> </w:t>
      </w:r>
      <w:r w:rsidR="00041CBD" w:rsidRPr="00041CBD">
        <w:rPr>
          <w:rFonts w:ascii="David" w:hAnsi="David" w:cs="David" w:hint="eastAsia"/>
          <w:rtl/>
        </w:rPr>
        <w:t>בתי</w:t>
      </w:r>
      <w:r w:rsidR="00041CBD" w:rsidRPr="00041CBD">
        <w:rPr>
          <w:rFonts w:ascii="David" w:hAnsi="David" w:cs="David"/>
          <w:rtl/>
        </w:rPr>
        <w:t xml:space="preserve"> </w:t>
      </w:r>
      <w:r w:rsidR="00041CBD" w:rsidRPr="00041CBD">
        <w:rPr>
          <w:rFonts w:ascii="David" w:hAnsi="David" w:cs="David" w:hint="eastAsia"/>
          <w:rtl/>
        </w:rPr>
        <w:t>המשפט</w:t>
      </w:r>
      <w:r w:rsidR="00041CBD" w:rsidRPr="00041CBD">
        <w:rPr>
          <w:rFonts w:ascii="David" w:hAnsi="David" w:cs="David"/>
          <w:rtl/>
        </w:rPr>
        <w:t xml:space="preserve"> (</w:t>
      </w:r>
      <w:r w:rsidR="00041CBD" w:rsidRPr="00041CBD">
        <w:rPr>
          <w:rFonts w:ascii="David" w:hAnsi="David" w:cs="David" w:hint="eastAsia"/>
          <w:rtl/>
        </w:rPr>
        <w:t>אגרות</w:t>
      </w:r>
      <w:r w:rsidR="00041CBD" w:rsidRPr="00041CBD">
        <w:rPr>
          <w:rFonts w:ascii="David" w:hAnsi="David" w:cs="David"/>
          <w:rtl/>
        </w:rPr>
        <w:t>)</w:t>
      </w:r>
      <w:r w:rsidR="00041CBD" w:rsidRPr="00041CBD">
        <w:rPr>
          <w:rFonts w:ascii="David" w:hAnsi="David" w:cs="David"/>
        </w:rPr>
        <w:t xml:space="preserve"> </w:t>
      </w:r>
      <w:r w:rsidR="00041CBD">
        <w:rPr>
          <w:rFonts w:ascii="David" w:hAnsi="David" w:cs="David" w:hint="cs"/>
          <w:rtl/>
        </w:rPr>
        <w:t>, התשס"ז-2007</w:t>
      </w:r>
    </w:p>
    <w:p w14:paraId="68EED1C4" w14:textId="214E9298" w:rsidR="0090300B" w:rsidRPr="00C163E1" w:rsidRDefault="0090300B" w:rsidP="00041CBD">
      <w:pPr>
        <w:spacing w:line="360" w:lineRule="auto"/>
        <w:rPr>
          <w:rFonts w:ascii="David" w:hAnsi="David" w:cs="David"/>
          <w:rtl/>
        </w:rPr>
      </w:pPr>
      <w:r w:rsidRPr="00C163E1">
        <w:rPr>
          <w:rFonts w:ascii="David" w:hAnsi="David" w:cs="David" w:hint="cs"/>
          <w:b/>
          <w:bCs/>
          <w:rtl/>
        </w:rPr>
        <w:t>הליך נוסף</w:t>
      </w:r>
      <w:r w:rsidRPr="00C163E1">
        <w:rPr>
          <w:rFonts w:ascii="David" w:hAnsi="David" w:cs="David" w:hint="cs"/>
          <w:rtl/>
        </w:rPr>
        <w:t>:</w:t>
      </w:r>
      <w:r w:rsidR="00A9392B" w:rsidRPr="00C163E1">
        <w:rPr>
          <w:rFonts w:ascii="David" w:hAnsi="David" w:cs="David" w:hint="cs"/>
          <w:rtl/>
        </w:rPr>
        <w:t xml:space="preserve">      </w:t>
      </w:r>
      <w:r w:rsidR="007E4971">
        <w:rPr>
          <w:rFonts w:ascii="David" w:hAnsi="David" w:cs="David" w:hint="cs"/>
          <w:rtl/>
        </w:rPr>
        <w:t>בד בבד עם הגשת בקשה להוספת ראיה ובקשה לעיכוב ביצוע כמפורט להלן.</w:t>
      </w:r>
    </w:p>
    <w:p w14:paraId="6704F033" w14:textId="43D25A30" w:rsidR="00E636DE" w:rsidRPr="00C163E1" w:rsidRDefault="00E636DE" w:rsidP="00A3516A">
      <w:pPr>
        <w:spacing w:line="360" w:lineRule="auto"/>
        <w:rPr>
          <w:rFonts w:ascii="David" w:hAnsi="David" w:cs="David"/>
          <w:b/>
          <w:bCs/>
          <w:rtl/>
        </w:rPr>
      </w:pPr>
      <w:r w:rsidRPr="00C163E1">
        <w:rPr>
          <w:rFonts w:ascii="David" w:hAnsi="David" w:cs="David" w:hint="cs"/>
          <w:b/>
          <w:bCs/>
          <w:rtl/>
        </w:rPr>
        <w:t xml:space="preserve">מועד אחרון להגשת ערעור: </w:t>
      </w:r>
      <w:r w:rsidR="009379DD">
        <w:rPr>
          <w:rFonts w:ascii="David" w:hAnsi="David" w:cs="David" w:hint="cs"/>
          <w:rtl/>
        </w:rPr>
        <w:t>16</w:t>
      </w:r>
      <w:r w:rsidRPr="00C163E1">
        <w:rPr>
          <w:rFonts w:ascii="David" w:hAnsi="David" w:cs="David" w:hint="cs"/>
          <w:rtl/>
        </w:rPr>
        <w:t>.</w:t>
      </w:r>
      <w:r w:rsidR="009379DD">
        <w:rPr>
          <w:rFonts w:ascii="David" w:hAnsi="David" w:cs="David" w:hint="cs"/>
          <w:rtl/>
        </w:rPr>
        <w:t>10</w:t>
      </w:r>
      <w:r w:rsidRPr="00C163E1">
        <w:rPr>
          <w:rFonts w:ascii="David" w:hAnsi="David" w:cs="David" w:hint="cs"/>
          <w:rtl/>
        </w:rPr>
        <w:t>.</w:t>
      </w:r>
      <w:r w:rsidR="009379DD">
        <w:rPr>
          <w:rFonts w:ascii="David" w:hAnsi="David" w:cs="David" w:hint="cs"/>
          <w:rtl/>
        </w:rPr>
        <w:t>25</w:t>
      </w:r>
    </w:p>
    <w:p w14:paraId="40854604" w14:textId="20256A78" w:rsidR="00041CBD" w:rsidRDefault="00E636DE" w:rsidP="00041CBD">
      <w:pPr>
        <w:spacing w:line="360" w:lineRule="auto"/>
        <w:rPr>
          <w:rFonts w:ascii="David" w:hAnsi="David" w:cs="David"/>
          <w:highlight w:val="yellow"/>
          <w:rtl/>
        </w:rPr>
      </w:pPr>
      <w:r w:rsidRPr="00C163E1">
        <w:rPr>
          <w:rFonts w:ascii="David" w:hAnsi="David" w:cs="David" w:hint="cs"/>
          <w:b/>
          <w:bCs/>
          <w:rtl/>
        </w:rPr>
        <w:t>סכום הערובה</w:t>
      </w:r>
      <w:r w:rsidRPr="00C163E1">
        <w:rPr>
          <w:rFonts w:ascii="David" w:hAnsi="David" w:cs="David" w:hint="cs"/>
          <w:rtl/>
        </w:rPr>
        <w:t xml:space="preserve">: בהתאם לתקנה </w:t>
      </w:r>
      <w:r w:rsidR="004F50DE">
        <w:rPr>
          <w:rFonts w:ascii="David" w:hAnsi="David" w:cs="David" w:hint="cs"/>
          <w:rtl/>
        </w:rPr>
        <w:t>134 ו-137</w:t>
      </w:r>
      <w:r w:rsidRPr="00C163E1">
        <w:rPr>
          <w:rFonts w:ascii="David" w:hAnsi="David" w:cs="David" w:hint="cs"/>
          <w:rtl/>
        </w:rPr>
        <w:t xml:space="preserve"> לתקנות סדר הדין האזרחי, תשע"ט </w:t>
      </w:r>
      <w:r w:rsidRPr="00C163E1">
        <w:rPr>
          <w:rFonts w:ascii="David" w:hAnsi="David" w:cs="David"/>
          <w:rtl/>
        </w:rPr>
        <w:t>–</w:t>
      </w:r>
      <w:r w:rsidRPr="00C163E1">
        <w:rPr>
          <w:rFonts w:ascii="David" w:hAnsi="David" w:cs="David" w:hint="cs"/>
          <w:rtl/>
        </w:rPr>
        <w:t xml:space="preserve"> 2018 תוספת שלישית פריט </w:t>
      </w:r>
      <w:r w:rsidR="00D83EE1">
        <w:rPr>
          <w:rFonts w:ascii="David" w:hAnsi="David" w:cs="David" w:hint="cs"/>
          <w:rtl/>
        </w:rPr>
        <w:t>1</w:t>
      </w:r>
      <w:r w:rsidRPr="00C163E1">
        <w:rPr>
          <w:rFonts w:ascii="David" w:hAnsi="David" w:cs="David" w:hint="cs"/>
          <w:rtl/>
        </w:rPr>
        <w:t xml:space="preserve"> סך של </w:t>
      </w:r>
      <w:r w:rsidR="00730E4E">
        <w:rPr>
          <w:rFonts w:ascii="David" w:hAnsi="David" w:cs="David" w:hint="cs"/>
          <w:rtl/>
        </w:rPr>
        <w:t>35</w:t>
      </w:r>
      <w:r w:rsidRPr="00C163E1">
        <w:rPr>
          <w:rFonts w:ascii="David" w:hAnsi="David" w:cs="David" w:hint="cs"/>
          <w:rtl/>
        </w:rPr>
        <w:t>,000 ₪.</w:t>
      </w:r>
      <w:r w:rsidR="001A026D">
        <w:rPr>
          <w:rFonts w:ascii="David" w:hAnsi="David" w:cs="David" w:hint="cs"/>
          <w:rtl/>
        </w:rPr>
        <w:t xml:space="preserve"> </w:t>
      </w:r>
    </w:p>
    <w:p w14:paraId="559BDD0F" w14:textId="0C1BC9AA" w:rsidR="00D83EE1" w:rsidRPr="00D83EE1" w:rsidRDefault="00D83EE1" w:rsidP="00041CBD">
      <w:pPr>
        <w:spacing w:line="360" w:lineRule="auto"/>
        <w:rPr>
          <w:rFonts w:ascii="David" w:hAnsi="David" w:cs="David"/>
        </w:rPr>
      </w:pPr>
      <w:r w:rsidRPr="00D83EE1">
        <w:rPr>
          <w:rFonts w:ascii="David" w:hAnsi="David" w:cs="David" w:hint="cs"/>
          <w:rtl/>
        </w:rPr>
        <w:t>מסמכים מצורפים:</w:t>
      </w:r>
      <w:r>
        <w:rPr>
          <w:rFonts w:ascii="David" w:hAnsi="David" w:cs="David" w:hint="cs"/>
          <w:rtl/>
        </w:rPr>
        <w:t xml:space="preserve"> </w:t>
      </w:r>
      <w:r w:rsidRPr="00D83EE1">
        <w:rPr>
          <w:rFonts w:ascii="David" w:hAnsi="David" w:cs="David" w:hint="cs"/>
          <w:rtl/>
        </w:rPr>
        <w:t>רשימת מסמכים</w:t>
      </w:r>
      <w:r w:rsidRPr="00D83EE1">
        <w:rPr>
          <w:rFonts w:ascii="David" w:hAnsi="David" w:cs="David"/>
          <w:rtl/>
        </w:rPr>
        <w:t>–</w:t>
      </w:r>
      <w:r w:rsidRPr="00D83EE1">
        <w:rPr>
          <w:rFonts w:ascii="David" w:hAnsi="David" w:cs="David" w:hint="cs"/>
          <w:rtl/>
        </w:rPr>
        <w:t xml:space="preserve"> תיק מוצגים </w:t>
      </w:r>
      <w:r>
        <w:rPr>
          <w:rFonts w:ascii="David" w:hAnsi="David" w:cs="David" w:hint="cs"/>
          <w:rtl/>
        </w:rPr>
        <w:t>-רצ"ב.</w:t>
      </w:r>
    </w:p>
    <w:p w14:paraId="07925DAA" w14:textId="06C02744" w:rsidR="007E4971" w:rsidRDefault="007E4971" w:rsidP="00A509C0">
      <w:pPr>
        <w:spacing w:line="360" w:lineRule="auto"/>
        <w:jc w:val="both"/>
        <w:rPr>
          <w:rFonts w:ascii="David" w:hAnsi="David" w:cs="David"/>
          <w:rtl/>
        </w:rPr>
      </w:pPr>
    </w:p>
    <w:p w14:paraId="21D71D0D" w14:textId="77777777" w:rsidR="00E60584" w:rsidRDefault="00E60584" w:rsidP="00A509C0">
      <w:pPr>
        <w:spacing w:line="360" w:lineRule="auto"/>
        <w:jc w:val="both"/>
        <w:rPr>
          <w:rFonts w:ascii="David" w:hAnsi="David" w:cs="David"/>
          <w:rtl/>
        </w:rPr>
      </w:pPr>
    </w:p>
    <w:p w14:paraId="60815D42" w14:textId="6303EDF9" w:rsidR="0060205B" w:rsidRPr="00FC6F1F" w:rsidRDefault="0060205B" w:rsidP="00D12297">
      <w:pPr>
        <w:spacing w:line="360" w:lineRule="auto"/>
        <w:ind w:left="-428"/>
        <w:jc w:val="both"/>
        <w:rPr>
          <w:rFonts w:ascii="David" w:hAnsi="David" w:cs="David"/>
          <w:b/>
          <w:bCs/>
          <w:sz w:val="28"/>
          <w:szCs w:val="28"/>
          <w:u w:val="single"/>
          <w:rtl/>
        </w:rPr>
      </w:pPr>
      <w:r w:rsidRPr="00FC6F1F">
        <w:rPr>
          <w:rFonts w:ascii="David" w:hAnsi="David" w:cs="David" w:hint="cs"/>
          <w:b/>
          <w:bCs/>
          <w:sz w:val="28"/>
          <w:szCs w:val="28"/>
          <w:u w:val="single"/>
          <w:rtl/>
        </w:rPr>
        <w:lastRenderedPageBreak/>
        <w:t xml:space="preserve">פתח דבר </w:t>
      </w:r>
      <w:r w:rsidRPr="00FC6F1F">
        <w:rPr>
          <w:rFonts w:ascii="David" w:hAnsi="David" w:cs="David"/>
          <w:b/>
          <w:bCs/>
          <w:sz w:val="28"/>
          <w:szCs w:val="28"/>
          <w:u w:val="single"/>
          <w:rtl/>
        </w:rPr>
        <w:t>–</w:t>
      </w:r>
      <w:r w:rsidRPr="00FC6F1F">
        <w:rPr>
          <w:rFonts w:ascii="David" w:hAnsi="David" w:cs="David" w:hint="cs"/>
          <w:b/>
          <w:bCs/>
          <w:sz w:val="28"/>
          <w:szCs w:val="28"/>
          <w:u w:val="single"/>
          <w:rtl/>
        </w:rPr>
        <w:t xml:space="preserve"> בקשות המוגשות בד בבד עם הגשת הערעור</w:t>
      </w:r>
    </w:p>
    <w:p w14:paraId="5D3ADE18" w14:textId="77777777" w:rsidR="009B4F51" w:rsidRDefault="007E4971" w:rsidP="00D12297">
      <w:pPr>
        <w:spacing w:line="360" w:lineRule="auto"/>
        <w:ind w:left="-428" w:right="170"/>
        <w:jc w:val="both"/>
        <w:rPr>
          <w:rFonts w:ascii="David" w:hAnsi="David" w:cs="David"/>
          <w:rtl/>
        </w:rPr>
      </w:pPr>
      <w:bookmarkStart w:id="4" w:name="_Hlk210813248"/>
      <w:r w:rsidRPr="007E4971">
        <w:rPr>
          <w:rFonts w:ascii="David" w:hAnsi="David" w:cs="David" w:hint="cs"/>
          <w:rtl/>
        </w:rPr>
        <w:t>המערערים יבקשו לציין בפני בית המשפט הנכבד כבר בפתח הדברים כי בד בבד עם הגשת הודעת הערעור מוגשת בקשת המערערים להוספת ראיה</w:t>
      </w:r>
      <w:r w:rsidR="000C58CC">
        <w:rPr>
          <w:rFonts w:ascii="David" w:hAnsi="David" w:cs="David" w:hint="cs"/>
          <w:rtl/>
        </w:rPr>
        <w:t xml:space="preserve"> </w:t>
      </w:r>
      <w:bookmarkEnd w:id="4"/>
      <w:r w:rsidR="00E60584">
        <w:rPr>
          <w:rFonts w:ascii="David" w:hAnsi="David" w:cs="David" w:hint="cs"/>
          <w:rtl/>
        </w:rPr>
        <w:t xml:space="preserve">חדשה </w:t>
      </w:r>
      <w:r w:rsidRPr="007E4971">
        <w:rPr>
          <w:rFonts w:ascii="David" w:hAnsi="David" w:cs="David" w:hint="cs"/>
          <w:rtl/>
        </w:rPr>
        <w:t xml:space="preserve"> (להלן:"</w:t>
      </w:r>
      <w:r w:rsidRPr="007E4971">
        <w:rPr>
          <w:rFonts w:ascii="David" w:hAnsi="David" w:cs="David" w:hint="cs"/>
          <w:b/>
          <w:bCs/>
          <w:rtl/>
        </w:rPr>
        <w:t>בקשה להוספת ראיה</w:t>
      </w:r>
      <w:r w:rsidRPr="007E4971">
        <w:rPr>
          <w:rFonts w:ascii="David" w:hAnsi="David" w:cs="David" w:hint="cs"/>
          <w:rtl/>
        </w:rPr>
        <w:t>")</w:t>
      </w:r>
      <w:r>
        <w:rPr>
          <w:rFonts w:ascii="David" w:hAnsi="David" w:cs="David" w:hint="cs"/>
          <w:rtl/>
        </w:rPr>
        <w:t xml:space="preserve"> ובקשה לעיכוב ביצוע פסק הדין.</w:t>
      </w:r>
      <w:bookmarkStart w:id="5" w:name="_Hlk210813518"/>
    </w:p>
    <w:p w14:paraId="3999FC5B" w14:textId="602C4CA6" w:rsidR="00D33187" w:rsidRDefault="007E4971" w:rsidP="00D12297">
      <w:pPr>
        <w:spacing w:line="360" w:lineRule="auto"/>
        <w:ind w:left="-428" w:right="170"/>
        <w:jc w:val="both"/>
        <w:rPr>
          <w:rFonts w:ascii="David" w:hAnsi="David" w:cs="David"/>
          <w:rtl/>
        </w:rPr>
      </w:pPr>
      <w:r>
        <w:rPr>
          <w:rFonts w:ascii="David" w:hAnsi="David" w:cs="David" w:hint="cs"/>
          <w:rtl/>
        </w:rPr>
        <w:t xml:space="preserve">אך </w:t>
      </w:r>
      <w:r w:rsidRPr="00423338">
        <w:rPr>
          <w:rFonts w:ascii="David" w:hAnsi="David" w:cs="David" w:hint="cs"/>
          <w:rtl/>
        </w:rPr>
        <w:t xml:space="preserve">לאחר מתן פסק הדין התברר למערערים 2-3 כי </w:t>
      </w:r>
      <w:r w:rsidR="00D33187">
        <w:rPr>
          <w:rFonts w:ascii="David" w:hAnsi="David" w:cs="David" w:hint="cs"/>
          <w:rtl/>
        </w:rPr>
        <w:t>עובר</w:t>
      </w:r>
      <w:r>
        <w:rPr>
          <w:rFonts w:ascii="David" w:hAnsi="David" w:cs="David" w:hint="cs"/>
          <w:rtl/>
        </w:rPr>
        <w:t xml:space="preserve"> </w:t>
      </w:r>
      <w:r w:rsidR="00D33187">
        <w:rPr>
          <w:rFonts w:ascii="David" w:hAnsi="David" w:cs="David" w:hint="cs"/>
          <w:rtl/>
        </w:rPr>
        <w:t xml:space="preserve"> ל</w:t>
      </w:r>
      <w:r>
        <w:rPr>
          <w:rFonts w:ascii="David" w:hAnsi="David" w:cs="David" w:hint="cs"/>
          <w:rtl/>
        </w:rPr>
        <w:t>תאונה</w:t>
      </w:r>
      <w:r w:rsidR="00D33187">
        <w:rPr>
          <w:rFonts w:ascii="David" w:hAnsi="David" w:cs="David" w:hint="cs"/>
          <w:rtl/>
        </w:rPr>
        <w:t xml:space="preserve"> מושא פסה"ד</w:t>
      </w:r>
      <w:r>
        <w:rPr>
          <w:rFonts w:ascii="David" w:hAnsi="David" w:cs="David" w:hint="cs"/>
          <w:rtl/>
        </w:rPr>
        <w:t xml:space="preserve">, </w:t>
      </w:r>
      <w:r w:rsidRPr="00423338">
        <w:rPr>
          <w:rFonts w:ascii="David" w:hAnsi="David" w:cs="David" w:hint="cs"/>
          <w:rtl/>
        </w:rPr>
        <w:t>בשנת 2014</w:t>
      </w:r>
      <w:r>
        <w:rPr>
          <w:rFonts w:ascii="David" w:hAnsi="David" w:cs="David" w:hint="cs"/>
          <w:rtl/>
        </w:rPr>
        <w:t xml:space="preserve">, </w:t>
      </w:r>
      <w:r w:rsidR="00D33187">
        <w:rPr>
          <w:rFonts w:ascii="David" w:hAnsi="David" w:cs="David" w:hint="cs"/>
          <w:rtl/>
        </w:rPr>
        <w:t>כשש שנים</w:t>
      </w:r>
      <w:r>
        <w:rPr>
          <w:rFonts w:ascii="David" w:hAnsi="David" w:cs="David" w:hint="cs"/>
          <w:rtl/>
        </w:rPr>
        <w:t xml:space="preserve"> קודם </w:t>
      </w:r>
      <w:r w:rsidR="00D33187">
        <w:rPr>
          <w:rFonts w:ascii="David" w:hAnsi="David" w:cs="David" w:hint="cs"/>
          <w:rtl/>
        </w:rPr>
        <w:t>לתאונה בענייננו</w:t>
      </w:r>
      <w:r>
        <w:rPr>
          <w:rFonts w:ascii="David" w:hAnsi="David" w:cs="David" w:hint="cs"/>
          <w:rtl/>
        </w:rPr>
        <w:t xml:space="preserve">, </w:t>
      </w:r>
      <w:r w:rsidRPr="00423338">
        <w:rPr>
          <w:rFonts w:ascii="David" w:hAnsi="David" w:cs="David" w:hint="cs"/>
          <w:rtl/>
        </w:rPr>
        <w:t xml:space="preserve"> </w:t>
      </w:r>
      <w:r w:rsidR="00D33187">
        <w:rPr>
          <w:rFonts w:ascii="David" w:hAnsi="David" w:cs="David" w:hint="cs"/>
          <w:rtl/>
        </w:rPr>
        <w:t xml:space="preserve">במהלך תקופת העסקתו  ע"י המערערת 1 </w:t>
      </w:r>
      <w:r w:rsidRPr="00423338">
        <w:rPr>
          <w:rFonts w:ascii="David" w:hAnsi="David" w:cs="David" w:hint="cs"/>
          <w:rtl/>
        </w:rPr>
        <w:t>היה המשיב מעורב בתאונת עבודה</w:t>
      </w:r>
      <w:r w:rsidR="00D33187">
        <w:rPr>
          <w:rFonts w:ascii="David" w:hAnsi="David" w:cs="David" w:hint="cs"/>
          <w:rtl/>
        </w:rPr>
        <w:t xml:space="preserve">, </w:t>
      </w:r>
      <w:r w:rsidRPr="00423338">
        <w:rPr>
          <w:rFonts w:ascii="David" w:hAnsi="David" w:cs="David" w:hint="cs"/>
          <w:rtl/>
        </w:rPr>
        <w:t xml:space="preserve"> במסגרתה</w:t>
      </w:r>
      <w:r w:rsidR="00D33187">
        <w:rPr>
          <w:rFonts w:ascii="David" w:hAnsi="David" w:cs="David" w:hint="cs"/>
          <w:rtl/>
        </w:rPr>
        <w:t xml:space="preserve"> נפגע בנסיבות דומה, על ידי </w:t>
      </w:r>
      <w:r w:rsidR="00E60584">
        <w:rPr>
          <w:rFonts w:ascii="David" w:hAnsi="David" w:cs="David" w:hint="cs"/>
          <w:rtl/>
        </w:rPr>
        <w:t>מכונה זהה</w:t>
      </w:r>
      <w:r w:rsidR="00D33187">
        <w:rPr>
          <w:rFonts w:ascii="David" w:hAnsi="David" w:cs="David" w:hint="cs"/>
          <w:rtl/>
        </w:rPr>
        <w:t xml:space="preserve"> עת נפגע בידו (השמאלית-השניה) מגלגל שיניים עת ניקה את המכונה בידו  ו</w:t>
      </w:r>
      <w:r w:rsidRPr="00423338">
        <w:rPr>
          <w:rFonts w:ascii="David" w:hAnsi="David" w:cs="David" w:hint="cs"/>
          <w:rtl/>
        </w:rPr>
        <w:t>נקבעה לו נכות בשיעור 10% בגין חבלה לידו (השמאלית)</w:t>
      </w:r>
      <w:r w:rsidR="00D33187">
        <w:rPr>
          <w:rFonts w:ascii="David" w:hAnsi="David" w:cs="David" w:hint="cs"/>
          <w:rtl/>
        </w:rPr>
        <w:t xml:space="preserve">. </w:t>
      </w:r>
    </w:p>
    <w:p w14:paraId="4A021827" w14:textId="3A4D1F8A" w:rsidR="007E4971" w:rsidRPr="009B4F51" w:rsidRDefault="00E60584" w:rsidP="00D12297">
      <w:pPr>
        <w:pStyle w:val="a4"/>
        <w:spacing w:line="360" w:lineRule="auto"/>
        <w:ind w:left="-428" w:right="170"/>
        <w:jc w:val="both"/>
        <w:rPr>
          <w:rFonts w:ascii="David" w:hAnsi="David" w:cs="David"/>
          <w:rtl/>
        </w:rPr>
      </w:pPr>
      <w:r>
        <w:rPr>
          <w:rFonts w:ascii="David" w:hAnsi="David" w:cs="David" w:hint="cs"/>
          <w:rtl/>
        </w:rPr>
        <w:t xml:space="preserve">בית המשפט קמא קיבל את גירסת המשיב </w:t>
      </w:r>
      <w:r w:rsidR="00D12297">
        <w:rPr>
          <w:rFonts w:ascii="David" w:hAnsi="David" w:cs="David" w:hint="cs"/>
          <w:rtl/>
        </w:rPr>
        <w:t xml:space="preserve">ולא הטיל אשם תורם </w:t>
      </w:r>
      <w:r>
        <w:rPr>
          <w:rFonts w:ascii="David" w:hAnsi="David" w:cs="David" w:hint="cs"/>
          <w:rtl/>
        </w:rPr>
        <w:t>בהתאם להוראות סעיף 68 לפקודת הנזיקין והראיה החדשה יש בה כדי להוכיח כי המשיב אינו דובר אמת, מהימנותו מוטלת בספק ויש לקבוע כי יש בהתנהגותו אשם בשיעור ניכר</w:t>
      </w:r>
      <w:bookmarkEnd w:id="5"/>
      <w:r w:rsidR="00D12297">
        <w:rPr>
          <w:rFonts w:ascii="David" w:hAnsi="David" w:cs="David" w:hint="cs"/>
          <w:rtl/>
        </w:rPr>
        <w:t xml:space="preserve"> </w:t>
      </w:r>
      <w:r w:rsidR="007E4971" w:rsidRPr="009B4F51">
        <w:rPr>
          <w:rFonts w:ascii="David" w:hAnsi="David" w:cs="David" w:hint="cs"/>
          <w:rtl/>
        </w:rPr>
        <w:t>והכל כפי שיפורט בבקשה כאמור.</w:t>
      </w:r>
    </w:p>
    <w:p w14:paraId="6E8B0CDE" w14:textId="06F3D5C2" w:rsidR="00A509C0" w:rsidRPr="00C355D0" w:rsidRDefault="00A509C0" w:rsidP="009B4F51">
      <w:pPr>
        <w:pStyle w:val="a4"/>
        <w:numPr>
          <w:ilvl w:val="0"/>
          <w:numId w:val="10"/>
        </w:numPr>
        <w:spacing w:line="360" w:lineRule="auto"/>
        <w:ind w:left="-286"/>
        <w:jc w:val="both"/>
        <w:rPr>
          <w:rFonts w:ascii="David" w:hAnsi="David" w:cs="David"/>
          <w:b/>
          <w:bCs/>
          <w:sz w:val="30"/>
          <w:szCs w:val="30"/>
          <w:u w:val="single"/>
          <w:rtl/>
        </w:rPr>
      </w:pPr>
      <w:r w:rsidRPr="00C355D0">
        <w:rPr>
          <w:rFonts w:ascii="David" w:hAnsi="David" w:cs="David" w:hint="cs"/>
          <w:b/>
          <w:bCs/>
          <w:sz w:val="30"/>
          <w:szCs w:val="30"/>
          <w:u w:val="single"/>
          <w:rtl/>
        </w:rPr>
        <w:t>עיקרי פסק הדין  ביהמ"ש הנכבד קמא</w:t>
      </w:r>
    </w:p>
    <w:p w14:paraId="3800FA48" w14:textId="27B26D3B" w:rsidR="007E4971" w:rsidRPr="00D12297" w:rsidRDefault="00CE677B" w:rsidP="00D12297">
      <w:pPr>
        <w:pStyle w:val="a4"/>
        <w:numPr>
          <w:ilvl w:val="0"/>
          <w:numId w:val="6"/>
        </w:numPr>
        <w:spacing w:line="360" w:lineRule="auto"/>
        <w:ind w:left="-286" w:hanging="357"/>
        <w:jc w:val="both"/>
        <w:rPr>
          <w:rFonts w:ascii="David" w:hAnsi="David" w:cs="David"/>
        </w:rPr>
      </w:pPr>
      <w:r>
        <w:rPr>
          <w:rFonts w:ascii="David" w:hAnsi="David" w:cs="David" w:hint="cs"/>
          <w:rtl/>
        </w:rPr>
        <w:t>מוגש בזאת ערעור על</w:t>
      </w:r>
      <w:r w:rsidR="007E4971" w:rsidRPr="00A509C0">
        <w:rPr>
          <w:rFonts w:ascii="David" w:hAnsi="David" w:cs="David"/>
          <w:rtl/>
        </w:rPr>
        <w:t xml:space="preserve"> פסק דינו של כב' בית המשפט המחוזי מרכז בלוד, שניתן ביום 12 ביוני 2025 (ע"י כב' השופטת מ</w:t>
      </w:r>
      <w:r w:rsidR="00D12297">
        <w:rPr>
          <w:rFonts w:ascii="David" w:hAnsi="David" w:cs="David" w:hint="cs"/>
          <w:rtl/>
        </w:rPr>
        <w:t>.</w:t>
      </w:r>
      <w:r w:rsidR="007E4971" w:rsidRPr="00A509C0">
        <w:rPr>
          <w:rFonts w:ascii="David" w:hAnsi="David" w:cs="David"/>
          <w:rtl/>
        </w:rPr>
        <w:t xml:space="preserve">בן ארי) בת"א 35630-04-21, </w:t>
      </w:r>
      <w:r w:rsidR="007E4971">
        <w:rPr>
          <w:rFonts w:ascii="David" w:hAnsi="David" w:cs="David" w:hint="cs"/>
          <w:rtl/>
        </w:rPr>
        <w:t>בעניין נזקי גוף שנגרמו למשיב במהלך עבודתו נקבע כי המערערים, לרבות המערער 2, חבים בתשלום הפיצויים המגיעים לנפגע</w:t>
      </w:r>
      <w:r w:rsidR="005921D8">
        <w:rPr>
          <w:rFonts w:ascii="David" w:hAnsi="David" w:cs="David" w:hint="cs"/>
          <w:rtl/>
        </w:rPr>
        <w:t>, התובע בהליך מושא הערעור</w:t>
      </w:r>
      <w:r w:rsidR="005921D8" w:rsidRPr="00D12297">
        <w:rPr>
          <w:rFonts w:ascii="David" w:hAnsi="David" w:cs="David" w:hint="cs"/>
          <w:rtl/>
        </w:rPr>
        <w:t xml:space="preserve"> </w:t>
      </w:r>
      <w:r w:rsidR="007E4971" w:rsidRPr="00D12297">
        <w:rPr>
          <w:rFonts w:ascii="David" w:hAnsi="David" w:cs="David" w:hint="cs"/>
          <w:rtl/>
        </w:rPr>
        <w:t>(להלן: "</w:t>
      </w:r>
      <w:r w:rsidR="007E4971" w:rsidRPr="00D12297">
        <w:rPr>
          <w:rFonts w:ascii="David" w:hAnsi="David" w:cs="David" w:hint="cs"/>
          <w:b/>
          <w:bCs/>
          <w:rtl/>
        </w:rPr>
        <w:t>המשיב</w:t>
      </w:r>
      <w:r w:rsidR="007E4971" w:rsidRPr="00D12297">
        <w:rPr>
          <w:rFonts w:ascii="David" w:hAnsi="David" w:cs="David" w:hint="cs"/>
          <w:rtl/>
        </w:rPr>
        <w:t>").</w:t>
      </w:r>
    </w:p>
    <w:p w14:paraId="59AD7620" w14:textId="4A915673" w:rsidR="00E833C1" w:rsidRDefault="00E60584" w:rsidP="009B4F51">
      <w:pPr>
        <w:pStyle w:val="a4"/>
        <w:numPr>
          <w:ilvl w:val="0"/>
          <w:numId w:val="6"/>
        </w:numPr>
        <w:spacing w:line="360" w:lineRule="auto"/>
        <w:ind w:left="-286" w:hanging="357"/>
        <w:jc w:val="both"/>
        <w:rPr>
          <w:rFonts w:ascii="David" w:hAnsi="David" w:cs="David"/>
        </w:rPr>
      </w:pPr>
      <w:r>
        <w:rPr>
          <w:rFonts w:ascii="David" w:hAnsi="David" w:cs="David" w:hint="cs"/>
          <w:rtl/>
        </w:rPr>
        <w:t>ב</w:t>
      </w:r>
      <w:r w:rsidR="006B53EA">
        <w:rPr>
          <w:rFonts w:ascii="David" w:hAnsi="David" w:cs="David" w:hint="cs"/>
          <w:rtl/>
        </w:rPr>
        <w:t xml:space="preserve">פסק דינו של בית המשפט הנכבד קמא </w:t>
      </w:r>
      <w:r>
        <w:rPr>
          <w:rFonts w:ascii="David" w:hAnsi="David" w:cs="David" w:hint="cs"/>
          <w:rtl/>
        </w:rPr>
        <w:t>הוטלה</w:t>
      </w:r>
      <w:r w:rsidR="006B53EA">
        <w:rPr>
          <w:rFonts w:ascii="David" w:hAnsi="David" w:cs="David" w:hint="cs"/>
          <w:rtl/>
        </w:rPr>
        <w:t xml:space="preserve"> אחריות  בהיעדר תשתית נורמטיבית</w:t>
      </w:r>
      <w:r w:rsidR="00FD7222">
        <w:rPr>
          <w:rFonts w:ascii="David" w:hAnsi="David" w:cs="David" w:hint="cs"/>
          <w:rtl/>
        </w:rPr>
        <w:t xml:space="preserve">, בסטיה ממטרות דיני הנזיקין תוך הרחבת מעגל המזיקים והרחבת שיעורי הפיצויים </w:t>
      </w:r>
      <w:r w:rsidR="00CE677B">
        <w:rPr>
          <w:rFonts w:ascii="David" w:hAnsi="David" w:cs="David" w:hint="cs"/>
          <w:rtl/>
        </w:rPr>
        <w:t>בניגוד לדין ולהלכות בית משפט העליון הנכבד</w:t>
      </w:r>
      <w:r w:rsidR="00FD7222">
        <w:rPr>
          <w:rFonts w:ascii="David" w:hAnsi="David" w:cs="David" w:hint="cs"/>
          <w:rtl/>
        </w:rPr>
        <w:t>.</w:t>
      </w:r>
    </w:p>
    <w:p w14:paraId="70DB8E46" w14:textId="60CA5442" w:rsidR="00E60584" w:rsidRDefault="00D12297" w:rsidP="009B4F51">
      <w:pPr>
        <w:pStyle w:val="a4"/>
        <w:numPr>
          <w:ilvl w:val="0"/>
          <w:numId w:val="6"/>
        </w:numPr>
        <w:spacing w:line="360" w:lineRule="auto"/>
        <w:ind w:left="-286" w:hanging="357"/>
        <w:jc w:val="both"/>
        <w:rPr>
          <w:rFonts w:ascii="David" w:hAnsi="David" w:cs="David"/>
        </w:rPr>
      </w:pPr>
      <w:r>
        <w:rPr>
          <w:rFonts w:ascii="David" w:hAnsi="David" w:cs="David" w:hint="cs"/>
          <w:rtl/>
        </w:rPr>
        <w:t>טעה ביהמ"ש הנכבד קמא בקובעו</w:t>
      </w:r>
      <w:r w:rsidR="00E60584">
        <w:rPr>
          <w:rFonts w:ascii="David" w:hAnsi="David" w:cs="David" w:hint="cs"/>
          <w:rtl/>
        </w:rPr>
        <w:t xml:space="preserve"> חבות </w:t>
      </w:r>
      <w:r>
        <w:rPr>
          <w:rFonts w:ascii="David" w:hAnsi="David" w:cs="David" w:hint="cs"/>
          <w:rtl/>
        </w:rPr>
        <w:t xml:space="preserve">עפ"י </w:t>
      </w:r>
      <w:r w:rsidR="00E60584">
        <w:rPr>
          <w:rFonts w:ascii="David" w:hAnsi="David" w:cs="David" w:hint="cs"/>
          <w:rtl/>
        </w:rPr>
        <w:t>עדות יחידה של בעל דין, ללא ראיה חיצונית פוזיטיבית ובכך טעה.</w:t>
      </w:r>
    </w:p>
    <w:p w14:paraId="3D7953EC" w14:textId="04F066FC" w:rsidR="006F1034" w:rsidRDefault="006F1034" w:rsidP="009B4F51">
      <w:pPr>
        <w:pStyle w:val="a4"/>
        <w:numPr>
          <w:ilvl w:val="0"/>
          <w:numId w:val="6"/>
        </w:numPr>
        <w:spacing w:line="360" w:lineRule="auto"/>
        <w:ind w:left="-286" w:hanging="357"/>
        <w:jc w:val="both"/>
        <w:rPr>
          <w:rFonts w:ascii="David" w:hAnsi="David" w:cs="David"/>
        </w:rPr>
      </w:pPr>
      <w:r>
        <w:rPr>
          <w:rFonts w:ascii="David" w:hAnsi="David" w:cs="David" w:hint="cs"/>
          <w:rtl/>
        </w:rPr>
        <w:t>בית המשפט הנכבד קמא קבע קביעות סותרות, ללא הנמקה והסבר תוך התעלמות מהוראות המחוקק ומהוראות הפסיקה ביחס למיהו מעביד ואימתי תוטל חבות בנזיקין</w:t>
      </w:r>
      <w:r w:rsidR="00E60584">
        <w:rPr>
          <w:rFonts w:ascii="David" w:hAnsi="David" w:cs="David" w:hint="cs"/>
          <w:rtl/>
        </w:rPr>
        <w:t>, תוך הרחבת חובת הזהירות ויסוד ההתרשלות והטלתם על גורמים שאינם נושאים בחובה והכל בהסתמך על עדות של בעל דין מעוניין.</w:t>
      </w:r>
    </w:p>
    <w:p w14:paraId="3217136E" w14:textId="426E1420" w:rsidR="00FD7222" w:rsidRDefault="00FD7222" w:rsidP="009B4F51">
      <w:pPr>
        <w:pStyle w:val="a4"/>
        <w:numPr>
          <w:ilvl w:val="0"/>
          <w:numId w:val="6"/>
        </w:numPr>
        <w:spacing w:line="360" w:lineRule="auto"/>
        <w:ind w:left="-286" w:hanging="357"/>
        <w:jc w:val="both"/>
        <w:rPr>
          <w:rFonts w:ascii="David" w:hAnsi="David" w:cs="David"/>
        </w:rPr>
      </w:pPr>
      <w:r>
        <w:rPr>
          <w:rFonts w:ascii="David" w:hAnsi="David" w:cs="David" w:hint="cs"/>
          <w:rtl/>
        </w:rPr>
        <w:t xml:space="preserve">בית המשפט הנכבד קמא  </w:t>
      </w:r>
      <w:r w:rsidR="007E4971">
        <w:rPr>
          <w:rFonts w:ascii="David" w:hAnsi="David" w:cs="David" w:hint="cs"/>
          <w:rtl/>
        </w:rPr>
        <w:t xml:space="preserve">פסק </w:t>
      </w:r>
      <w:r>
        <w:rPr>
          <w:rFonts w:ascii="David" w:hAnsi="David" w:cs="David" w:hint="cs"/>
          <w:rtl/>
        </w:rPr>
        <w:t xml:space="preserve">פיצוי בגין </w:t>
      </w:r>
      <w:r w:rsidR="005921D8">
        <w:rPr>
          <w:rFonts w:ascii="David" w:hAnsi="David" w:cs="David" w:hint="cs"/>
          <w:rtl/>
        </w:rPr>
        <w:t xml:space="preserve">הפסדי השתכרות תוך חישוב </w:t>
      </w:r>
      <w:r>
        <w:rPr>
          <w:rFonts w:ascii="David" w:hAnsi="David" w:cs="David" w:hint="cs"/>
          <w:rtl/>
        </w:rPr>
        <w:t>שכר לא מדווח בהסתמך על עדות יחידה ובהיעדר ראיות בניגוד להלכה, פיצוי מלא בגין נזקיו הנטענים על הרף הגבוה</w:t>
      </w:r>
      <w:r w:rsidR="00423338">
        <w:rPr>
          <w:rFonts w:ascii="David" w:hAnsi="David" w:cs="David" w:hint="cs"/>
          <w:rtl/>
        </w:rPr>
        <w:t xml:space="preserve"> מבלי תימוכין</w:t>
      </w:r>
      <w:r>
        <w:rPr>
          <w:rFonts w:ascii="David" w:hAnsi="David" w:cs="David" w:hint="cs"/>
          <w:rtl/>
        </w:rPr>
        <w:t xml:space="preserve"> </w:t>
      </w:r>
      <w:r w:rsidR="00423338">
        <w:rPr>
          <w:rFonts w:ascii="David" w:hAnsi="David" w:cs="David" w:hint="cs"/>
          <w:rtl/>
        </w:rPr>
        <w:t xml:space="preserve">בהתבסס על עדותו </w:t>
      </w:r>
      <w:r w:rsidR="00CE677B">
        <w:rPr>
          <w:rFonts w:ascii="David" w:hAnsi="David" w:cs="David" w:hint="cs"/>
          <w:rtl/>
        </w:rPr>
        <w:t xml:space="preserve">של </w:t>
      </w:r>
      <w:r w:rsidR="00423338">
        <w:rPr>
          <w:rFonts w:ascii="David" w:hAnsi="David" w:cs="David" w:hint="cs"/>
          <w:rtl/>
        </w:rPr>
        <w:t>התובע וזו בלבד</w:t>
      </w:r>
      <w:r w:rsidR="00CE677B">
        <w:rPr>
          <w:rFonts w:ascii="David" w:hAnsi="David" w:cs="David" w:hint="cs"/>
          <w:rtl/>
        </w:rPr>
        <w:t xml:space="preserve"> תוך התעלמות מנסיבות המקרה ומהחסר הראייתי המחייב תוצאה הפוכה</w:t>
      </w:r>
    </w:p>
    <w:p w14:paraId="31FA9CB5" w14:textId="141A81FC" w:rsidR="00423338" w:rsidRDefault="00423338" w:rsidP="009B4F51">
      <w:pPr>
        <w:pStyle w:val="a4"/>
        <w:numPr>
          <w:ilvl w:val="0"/>
          <w:numId w:val="6"/>
        </w:numPr>
        <w:spacing w:line="360" w:lineRule="auto"/>
        <w:ind w:left="-286" w:hanging="357"/>
        <w:jc w:val="both"/>
        <w:rPr>
          <w:rFonts w:ascii="David" w:hAnsi="David" w:cs="David"/>
        </w:rPr>
      </w:pPr>
      <w:r>
        <w:rPr>
          <w:rFonts w:ascii="David" w:hAnsi="David" w:cs="David" w:hint="cs"/>
          <w:rtl/>
        </w:rPr>
        <w:t>הנפגע הינו העובד הותיק</w:t>
      </w:r>
      <w:r w:rsidR="00CE677B">
        <w:rPr>
          <w:rFonts w:ascii="David" w:hAnsi="David" w:cs="David" w:hint="cs"/>
          <w:rtl/>
        </w:rPr>
        <w:t xml:space="preserve"> (בה' הידיעה)</w:t>
      </w:r>
      <w:r>
        <w:rPr>
          <w:rFonts w:ascii="David" w:hAnsi="David" w:cs="David" w:hint="cs"/>
          <w:rtl/>
        </w:rPr>
        <w:t xml:space="preserve"> בחברת המערערת 1 ועל אף היותו הגורם הותיק והבכיר אשר לו הידע והניסיון בביצוע העבודה על כל המשתמע מכך, קבע בית המשפט הנכבד שלא להשית עליו אשם תורם כלל, על אף האשם בהתנהגותו.</w:t>
      </w:r>
      <w:r w:rsidR="00CE677B">
        <w:rPr>
          <w:rFonts w:ascii="David" w:hAnsi="David" w:cs="David" w:hint="cs"/>
          <w:rtl/>
        </w:rPr>
        <w:t xml:space="preserve"> אשם שמקבל ביטוי נוסף בהתחשב בעובדה שהיה מעורב בתאונה בנסיבות דומות כ-</w:t>
      </w:r>
      <w:r w:rsidR="00C355D0">
        <w:rPr>
          <w:rFonts w:ascii="David" w:hAnsi="David" w:cs="David" w:hint="cs"/>
          <w:rtl/>
        </w:rPr>
        <w:t>6</w:t>
      </w:r>
      <w:r w:rsidR="00CE677B">
        <w:rPr>
          <w:rFonts w:ascii="David" w:hAnsi="David" w:cs="David" w:hint="cs"/>
          <w:rtl/>
        </w:rPr>
        <w:t xml:space="preserve"> שנים קודם לכן</w:t>
      </w:r>
      <w:r w:rsidR="00276300">
        <w:rPr>
          <w:rFonts w:ascii="David" w:hAnsi="David" w:cs="David" w:hint="cs"/>
          <w:rtl/>
        </w:rPr>
        <w:t xml:space="preserve"> והעיד עדות שקר.</w:t>
      </w:r>
    </w:p>
    <w:p w14:paraId="39B73AD1" w14:textId="5ED003FA" w:rsidR="000C58CC" w:rsidRDefault="007E4971" w:rsidP="009B4F51">
      <w:pPr>
        <w:pStyle w:val="a4"/>
        <w:numPr>
          <w:ilvl w:val="0"/>
          <w:numId w:val="6"/>
        </w:numPr>
        <w:spacing w:line="360" w:lineRule="auto"/>
        <w:ind w:left="-286" w:hanging="357"/>
        <w:rPr>
          <w:rFonts w:ascii="David" w:hAnsi="David" w:cs="David"/>
        </w:rPr>
      </w:pPr>
      <w:r>
        <w:rPr>
          <w:rFonts w:ascii="David" w:hAnsi="David" w:cs="David" w:hint="cs"/>
          <w:rtl/>
        </w:rPr>
        <w:t xml:space="preserve">בית המשפט הנכבד </w:t>
      </w:r>
      <w:r w:rsidR="000C58CC">
        <w:rPr>
          <w:rFonts w:ascii="David" w:hAnsi="David" w:cs="David" w:hint="cs"/>
          <w:rtl/>
        </w:rPr>
        <w:t>העתיר פיצוי בכל ראשי הנזק בהתבסס על טענות הנפגע חרף היותן מוגזמות ונעדרות אחיזה במציאות, או, בראיות כנדרש בדין</w:t>
      </w:r>
      <w:r w:rsidR="005921D8">
        <w:rPr>
          <w:rFonts w:ascii="David" w:hAnsi="David" w:cs="David" w:hint="cs"/>
          <w:rtl/>
        </w:rPr>
        <w:t xml:space="preserve"> והכל כפי שיפורט להלן.</w:t>
      </w:r>
    </w:p>
    <w:p w14:paraId="4E9D01E5" w14:textId="352D39D9" w:rsidR="00423338" w:rsidRPr="00C355D0" w:rsidRDefault="00BC5C44" w:rsidP="008A1202">
      <w:pPr>
        <w:pStyle w:val="a4"/>
        <w:numPr>
          <w:ilvl w:val="0"/>
          <w:numId w:val="10"/>
        </w:numPr>
        <w:spacing w:line="360" w:lineRule="auto"/>
        <w:ind w:left="-144"/>
        <w:jc w:val="both"/>
        <w:rPr>
          <w:rFonts w:ascii="David" w:hAnsi="David" w:cs="David"/>
          <w:b/>
          <w:bCs/>
          <w:sz w:val="26"/>
          <w:szCs w:val="26"/>
          <w:u w:val="single"/>
          <w:rtl/>
        </w:rPr>
      </w:pPr>
      <w:r w:rsidRPr="00C355D0">
        <w:rPr>
          <w:rFonts w:ascii="David" w:hAnsi="David" w:cs="David"/>
          <w:b/>
          <w:bCs/>
          <w:sz w:val="28"/>
          <w:szCs w:val="28"/>
          <w:u w:val="single"/>
          <w:rtl/>
        </w:rPr>
        <w:t>ואלה נימוקי הערעור:</w:t>
      </w:r>
    </w:p>
    <w:p w14:paraId="022650DA" w14:textId="1B4F5A0E" w:rsidR="00CE677B" w:rsidRPr="00C355D0" w:rsidRDefault="00BC5C44" w:rsidP="00FC6F1F">
      <w:pPr>
        <w:pStyle w:val="a4"/>
        <w:numPr>
          <w:ilvl w:val="0"/>
          <w:numId w:val="6"/>
        </w:numPr>
        <w:spacing w:line="360" w:lineRule="auto"/>
        <w:ind w:left="-2"/>
        <w:jc w:val="both"/>
        <w:rPr>
          <w:rFonts w:ascii="David" w:hAnsi="David" w:cs="David"/>
          <w:b/>
          <w:bCs/>
          <w:u w:val="single"/>
        </w:rPr>
      </w:pPr>
      <w:r>
        <w:rPr>
          <w:rFonts w:ascii="David" w:hAnsi="David" w:cs="David" w:hint="cs"/>
          <w:rtl/>
        </w:rPr>
        <w:t xml:space="preserve">עסקינן במקרה מצער של תאונת עבודה במסגרתה </w:t>
      </w:r>
      <w:r w:rsidRPr="00100B43">
        <w:rPr>
          <w:rFonts w:ascii="David" w:hAnsi="David" w:cs="David" w:hint="cs"/>
          <w:rtl/>
        </w:rPr>
        <w:t>נפגע</w:t>
      </w:r>
      <w:r>
        <w:rPr>
          <w:rFonts w:ascii="David" w:hAnsi="David" w:cs="David" w:hint="cs"/>
          <w:rtl/>
        </w:rPr>
        <w:t xml:space="preserve"> המשיב. על כך, אין מחלוקת.</w:t>
      </w:r>
    </w:p>
    <w:p w14:paraId="6F087BE2" w14:textId="77777777" w:rsidR="00C355D0" w:rsidRDefault="00C355D0" w:rsidP="00FC6F1F">
      <w:pPr>
        <w:pStyle w:val="a4"/>
        <w:spacing w:line="360" w:lineRule="auto"/>
        <w:ind w:left="-2"/>
        <w:jc w:val="both"/>
        <w:rPr>
          <w:rFonts w:ascii="David" w:hAnsi="David" w:cs="David"/>
          <w:b/>
          <w:bCs/>
          <w:u w:val="single"/>
        </w:rPr>
      </w:pPr>
    </w:p>
    <w:p w14:paraId="250CE8AD" w14:textId="76922898" w:rsidR="00BC5C44" w:rsidRPr="00BC5C44" w:rsidRDefault="00BC5C44" w:rsidP="00FC6F1F">
      <w:pPr>
        <w:pStyle w:val="a4"/>
        <w:numPr>
          <w:ilvl w:val="0"/>
          <w:numId w:val="6"/>
        </w:numPr>
        <w:spacing w:line="360" w:lineRule="auto"/>
        <w:ind w:left="-2"/>
        <w:jc w:val="both"/>
        <w:rPr>
          <w:rFonts w:ascii="David" w:hAnsi="David" w:cs="David"/>
          <w:b/>
          <w:bCs/>
          <w:u w:val="single"/>
        </w:rPr>
      </w:pPr>
      <w:r>
        <w:rPr>
          <w:rFonts w:ascii="David" w:hAnsi="David" w:cs="David" w:hint="cs"/>
          <w:rtl/>
        </w:rPr>
        <w:t>עובדה נוספת שאינה שנויה במחלוקת הינה שהמדובר הוא בעובד ותיק ומנוסה (עמ' 3 שורה 14 לפרוטוקול) העובד הכי ותיק בחברה במועדים הרלוונטיים,  אשר עבד מזה שנים בנתבעת 1 אשר הוקמה ונוהלה על ידי מר יעקב קסטנבוים ז"ל (להלן:</w:t>
      </w:r>
      <w:r>
        <w:rPr>
          <w:rFonts w:ascii="David" w:hAnsi="David" w:cs="David" w:hint="cs"/>
          <w:b/>
          <w:bCs/>
          <w:rtl/>
        </w:rPr>
        <w:t xml:space="preserve">"המעסיק/המנוח") </w:t>
      </w:r>
      <w:r>
        <w:rPr>
          <w:rFonts w:ascii="David" w:hAnsi="David" w:cs="David" w:hint="cs"/>
          <w:rtl/>
        </w:rPr>
        <w:t>אשר נפטר  ממחלה מספר חודשים לאחר קרות המקרה</w:t>
      </w:r>
      <w:r w:rsidR="00CE677B">
        <w:rPr>
          <w:rFonts w:ascii="David" w:hAnsi="David" w:cs="David" w:hint="cs"/>
          <w:b/>
          <w:bCs/>
          <w:rtl/>
        </w:rPr>
        <w:t>.</w:t>
      </w:r>
    </w:p>
    <w:p w14:paraId="6B1A8083" w14:textId="77777777" w:rsidR="00BC5C44" w:rsidRPr="00A509C0" w:rsidRDefault="00BC5C44" w:rsidP="00FC6F1F">
      <w:pPr>
        <w:pStyle w:val="a4"/>
        <w:spacing w:line="360" w:lineRule="auto"/>
        <w:ind w:left="-2"/>
        <w:jc w:val="both"/>
        <w:rPr>
          <w:rFonts w:ascii="David" w:hAnsi="David" w:cs="David"/>
          <w:b/>
          <w:bCs/>
          <w:u w:val="single"/>
          <w:rtl/>
        </w:rPr>
      </w:pPr>
    </w:p>
    <w:p w14:paraId="6D28D8BD" w14:textId="761E6807" w:rsidR="00460588" w:rsidRDefault="00BC5C44" w:rsidP="00FC6F1F">
      <w:pPr>
        <w:pStyle w:val="a4"/>
        <w:numPr>
          <w:ilvl w:val="0"/>
          <w:numId w:val="6"/>
        </w:numPr>
        <w:spacing w:line="360" w:lineRule="auto"/>
        <w:ind w:left="-2"/>
        <w:jc w:val="both"/>
        <w:rPr>
          <w:rFonts w:ascii="David" w:hAnsi="David" w:cs="David"/>
        </w:rPr>
      </w:pPr>
      <w:r>
        <w:rPr>
          <w:rFonts w:ascii="David" w:hAnsi="David" w:cs="David" w:hint="cs"/>
          <w:rtl/>
        </w:rPr>
        <w:t>בפסק דינו מתייחס בית המשפט הנכבד קמא לגבולות האחריות האישית ולהלכה</w:t>
      </w:r>
      <w:r w:rsidR="00CE677B">
        <w:rPr>
          <w:rFonts w:ascii="David" w:hAnsi="David" w:cs="David" w:hint="cs"/>
          <w:rtl/>
        </w:rPr>
        <w:t xml:space="preserve">. בפסק דינו קובע כי המנוח בעלים ומנהל הנתבעת וכי הוא אחראי לנזק באחריות אישית (עמ' 6, פסקה 28, שורות 17 </w:t>
      </w:r>
      <w:r w:rsidR="00CE677B">
        <w:rPr>
          <w:rFonts w:ascii="David" w:hAnsi="David" w:cs="David"/>
          <w:rtl/>
        </w:rPr>
        <w:t>–</w:t>
      </w:r>
      <w:r w:rsidR="00CE677B">
        <w:rPr>
          <w:rFonts w:ascii="David" w:hAnsi="David" w:cs="David" w:hint="cs"/>
          <w:rtl/>
        </w:rPr>
        <w:t xml:space="preserve"> 23 לפסה"ד)</w:t>
      </w:r>
      <w:r>
        <w:rPr>
          <w:rFonts w:ascii="David" w:hAnsi="David" w:cs="David" w:hint="cs"/>
          <w:rtl/>
        </w:rPr>
        <w:t xml:space="preserve">,  </w:t>
      </w:r>
      <w:r>
        <w:rPr>
          <w:rFonts w:ascii="David" w:hAnsi="David" w:cs="David" w:hint="cs"/>
          <w:rtl/>
        </w:rPr>
        <w:lastRenderedPageBreak/>
        <w:t>מעבר להטלת האחריות על בעלי החברה ומנהלה-המנוח, חוצה הוא את גבולות האחריות,  ולשיטתנו</w:t>
      </w:r>
      <w:r w:rsidR="00CE677B">
        <w:rPr>
          <w:rFonts w:ascii="David" w:hAnsi="David" w:cs="David" w:hint="cs"/>
          <w:rtl/>
        </w:rPr>
        <w:t>,</w:t>
      </w:r>
      <w:r>
        <w:rPr>
          <w:rFonts w:ascii="David" w:hAnsi="David" w:cs="David" w:hint="cs"/>
          <w:rtl/>
        </w:rPr>
        <w:t xml:space="preserve"> מסיג גבול ומותח את גבולות</w:t>
      </w:r>
      <w:r w:rsidR="00C355D0">
        <w:rPr>
          <w:rFonts w:ascii="David" w:hAnsi="David" w:cs="David" w:hint="cs"/>
          <w:rtl/>
        </w:rPr>
        <w:t xml:space="preserve"> חובת הזהירות </w:t>
      </w:r>
      <w:r>
        <w:rPr>
          <w:rFonts w:ascii="David" w:hAnsi="David" w:cs="David" w:hint="cs"/>
          <w:rtl/>
        </w:rPr>
        <w:t xml:space="preserve"> </w:t>
      </w:r>
      <w:r w:rsidR="00C355D0">
        <w:rPr>
          <w:rFonts w:ascii="David" w:hAnsi="David" w:cs="David" w:hint="cs"/>
          <w:rtl/>
        </w:rPr>
        <w:t>ו</w:t>
      </w:r>
      <w:r>
        <w:rPr>
          <w:rFonts w:ascii="David" w:hAnsi="David" w:cs="David" w:hint="cs"/>
          <w:rtl/>
        </w:rPr>
        <w:t>האחריות</w:t>
      </w:r>
      <w:r w:rsidR="00C355D0">
        <w:rPr>
          <w:rFonts w:ascii="David" w:hAnsi="David" w:cs="David" w:hint="cs"/>
          <w:rtl/>
        </w:rPr>
        <w:t xml:space="preserve"> שבצידה</w:t>
      </w:r>
      <w:r>
        <w:rPr>
          <w:rFonts w:ascii="David" w:hAnsi="David" w:cs="David" w:hint="cs"/>
          <w:rtl/>
        </w:rPr>
        <w:t xml:space="preserve"> באופן אשר אינו מאפשר לו להימתח ועלול להביא </w:t>
      </w:r>
      <w:r w:rsidR="00C355D0">
        <w:rPr>
          <w:rFonts w:ascii="David" w:hAnsi="David" w:cs="David" w:hint="cs"/>
          <w:rtl/>
        </w:rPr>
        <w:t>לקריעתו</w:t>
      </w:r>
      <w:r>
        <w:rPr>
          <w:rFonts w:ascii="David" w:hAnsi="David" w:cs="David" w:hint="cs"/>
          <w:rtl/>
        </w:rPr>
        <w:t xml:space="preserve"> באופן המהווה פגיעה בדיני הנזיקין </w:t>
      </w:r>
      <w:r w:rsidR="00C355D0">
        <w:rPr>
          <w:rFonts w:ascii="David" w:hAnsi="David" w:cs="David" w:hint="cs"/>
          <w:rtl/>
        </w:rPr>
        <w:t>ואף</w:t>
      </w:r>
      <w:r>
        <w:rPr>
          <w:rFonts w:ascii="David" w:hAnsi="David" w:cs="David" w:hint="cs"/>
          <w:rtl/>
        </w:rPr>
        <w:t xml:space="preserve"> לעלות כדי פגיעה בדיני ההתאגדות</w:t>
      </w:r>
      <w:r w:rsidR="00460588">
        <w:rPr>
          <w:rFonts w:ascii="David" w:hAnsi="David" w:cs="David" w:hint="cs"/>
          <w:rtl/>
        </w:rPr>
        <w:t xml:space="preserve"> כפי שיפורט להלן. </w:t>
      </w:r>
    </w:p>
    <w:p w14:paraId="05443CDB" w14:textId="77777777" w:rsidR="00F770E9" w:rsidRPr="00F770E9" w:rsidRDefault="00F770E9" w:rsidP="00FC6F1F">
      <w:pPr>
        <w:pStyle w:val="a4"/>
        <w:spacing w:line="360" w:lineRule="auto"/>
        <w:ind w:left="-2"/>
        <w:jc w:val="both"/>
        <w:rPr>
          <w:rFonts w:ascii="David" w:hAnsi="David" w:cs="David"/>
          <w:rtl/>
        </w:rPr>
      </w:pPr>
    </w:p>
    <w:p w14:paraId="72DDF6F0" w14:textId="37464FB3" w:rsidR="00F770E9" w:rsidRPr="0039466A" w:rsidRDefault="00F770E9" w:rsidP="0039466A">
      <w:pPr>
        <w:pStyle w:val="a4"/>
        <w:numPr>
          <w:ilvl w:val="0"/>
          <w:numId w:val="6"/>
        </w:numPr>
        <w:spacing w:line="360" w:lineRule="auto"/>
        <w:ind w:left="-2"/>
        <w:jc w:val="both"/>
        <w:rPr>
          <w:rFonts w:ascii="David" w:hAnsi="David" w:cs="David"/>
          <w:rtl/>
        </w:rPr>
      </w:pPr>
      <w:r w:rsidRPr="00F770E9">
        <w:rPr>
          <w:rFonts w:ascii="David" w:hAnsi="David" w:cs="David" w:hint="cs"/>
          <w:rtl/>
        </w:rPr>
        <w:t>בית המשפט הנכבד קמא הטיל אחריות בנזיקין על סמך עדות</w:t>
      </w:r>
      <w:r w:rsidR="00E86980">
        <w:rPr>
          <w:rFonts w:ascii="David" w:hAnsi="David" w:cs="David" w:hint="cs"/>
          <w:rtl/>
        </w:rPr>
        <w:t>ו הלא נהירה של</w:t>
      </w:r>
      <w:r w:rsidRPr="00F770E9">
        <w:rPr>
          <w:rFonts w:ascii="David" w:hAnsi="David" w:cs="David" w:hint="cs"/>
          <w:rtl/>
        </w:rPr>
        <w:t xml:space="preserve"> המשיב </w:t>
      </w:r>
      <w:r w:rsidR="00C355D0">
        <w:rPr>
          <w:rFonts w:ascii="David" w:hAnsi="David" w:cs="David" w:hint="cs"/>
          <w:rtl/>
        </w:rPr>
        <w:t>העומדת</w:t>
      </w:r>
      <w:r w:rsidRPr="00F770E9">
        <w:rPr>
          <w:rFonts w:ascii="David" w:hAnsi="David" w:cs="David" w:hint="cs"/>
          <w:rtl/>
        </w:rPr>
        <w:t xml:space="preserve"> בסתירה פנימית המקבלת ביטוי גם בפסק הדין עצמו</w:t>
      </w:r>
      <w:r>
        <w:rPr>
          <w:rFonts w:ascii="David" w:hAnsi="David" w:cs="David" w:hint="cs"/>
          <w:rtl/>
        </w:rPr>
        <w:t>, סתירה שבית המשפט הנכבד קמא לא מיישב</w:t>
      </w:r>
      <w:r w:rsidR="00C355D0">
        <w:rPr>
          <w:rFonts w:ascii="David" w:hAnsi="David" w:cs="David" w:hint="cs"/>
          <w:rtl/>
        </w:rPr>
        <w:t xml:space="preserve"> ובכך טעה</w:t>
      </w:r>
      <w:r>
        <w:rPr>
          <w:rFonts w:ascii="David" w:hAnsi="David" w:cs="David" w:hint="cs"/>
          <w:rtl/>
        </w:rPr>
        <w:t>.</w:t>
      </w:r>
      <w:r w:rsidR="00C355D0">
        <w:rPr>
          <w:rFonts w:ascii="David" w:hAnsi="David" w:cs="David" w:hint="cs"/>
          <w:rtl/>
        </w:rPr>
        <w:t xml:space="preserve"> תוך התעלמות מיישום מבחן השליטה והתנאים שנקבעו בהלכה השלטת.</w:t>
      </w:r>
      <w:r w:rsidR="0039466A">
        <w:rPr>
          <w:rFonts w:ascii="David" w:hAnsi="David" w:cs="David" w:hint="cs"/>
          <w:rtl/>
        </w:rPr>
        <w:t xml:space="preserve"> </w:t>
      </w:r>
      <w:r w:rsidRPr="0039466A">
        <w:rPr>
          <w:rFonts w:ascii="David" w:hAnsi="David" w:cs="David" w:hint="cs"/>
          <w:rtl/>
        </w:rPr>
        <w:t>חוסר הבהירות לעניין זהות הנתבע, או</w:t>
      </w:r>
      <w:r w:rsidR="009D7C60" w:rsidRPr="0039466A">
        <w:rPr>
          <w:rFonts w:ascii="David" w:hAnsi="David" w:cs="David" w:hint="cs"/>
          <w:rtl/>
        </w:rPr>
        <w:t>, האחדה בין אישיות משפטיות נפרדות והפרטים המפעילים אותם לכדי גורם אחד שזור לאורכו של פסק הדין ולשיטתנו מביא לתוצאה שגויה והרסנית.</w:t>
      </w:r>
    </w:p>
    <w:p w14:paraId="0BE8C148" w14:textId="77777777" w:rsidR="009D7C60" w:rsidRPr="00F770E9" w:rsidRDefault="009D7C60" w:rsidP="00FC6F1F">
      <w:pPr>
        <w:pStyle w:val="a4"/>
        <w:spacing w:line="360" w:lineRule="auto"/>
        <w:ind w:left="-2"/>
        <w:jc w:val="both"/>
        <w:rPr>
          <w:rFonts w:ascii="David" w:hAnsi="David" w:cs="David"/>
          <w:rtl/>
        </w:rPr>
      </w:pPr>
    </w:p>
    <w:p w14:paraId="74F9966E" w14:textId="703D0A96" w:rsidR="00276300" w:rsidRDefault="00FC6F1F" w:rsidP="00FC6F1F">
      <w:pPr>
        <w:pStyle w:val="a4"/>
        <w:numPr>
          <w:ilvl w:val="0"/>
          <w:numId w:val="6"/>
        </w:numPr>
        <w:spacing w:line="360" w:lineRule="auto"/>
        <w:ind w:left="-2"/>
        <w:jc w:val="both"/>
        <w:rPr>
          <w:rFonts w:ascii="David" w:hAnsi="David" w:cs="David"/>
        </w:rPr>
      </w:pPr>
      <w:r>
        <w:rPr>
          <w:rFonts w:ascii="David" w:hAnsi="David" w:cs="David" w:hint="cs"/>
          <w:rtl/>
        </w:rPr>
        <w:t>טעה בית המשפט הנכבד קמא שהביא בחישוב בסיס שכרו שכר ב"שחור" שלא הוכח</w:t>
      </w:r>
      <w:r w:rsidR="00C355D0">
        <w:rPr>
          <w:rFonts w:ascii="David" w:hAnsi="David" w:cs="David" w:hint="cs"/>
          <w:rtl/>
        </w:rPr>
        <w:t xml:space="preserve"> </w:t>
      </w:r>
      <w:r w:rsidR="00276300">
        <w:rPr>
          <w:rFonts w:ascii="David" w:hAnsi="David" w:cs="David" w:hint="cs"/>
          <w:rtl/>
        </w:rPr>
        <w:t xml:space="preserve"> מבלי שסופק</w:t>
      </w:r>
      <w:r w:rsidR="00C355D0">
        <w:rPr>
          <w:rFonts w:ascii="David" w:hAnsi="David" w:cs="David" w:hint="cs"/>
          <w:rtl/>
        </w:rPr>
        <w:t>ה</w:t>
      </w:r>
      <w:r w:rsidR="00276300">
        <w:rPr>
          <w:rFonts w:ascii="David" w:hAnsi="David" w:cs="David" w:hint="cs"/>
          <w:rtl/>
        </w:rPr>
        <w:t xml:space="preserve"> על יד</w:t>
      </w:r>
      <w:r w:rsidR="00C355D0">
        <w:rPr>
          <w:rFonts w:ascii="David" w:hAnsi="David" w:cs="David" w:hint="cs"/>
          <w:rtl/>
        </w:rPr>
        <w:t>י המשיב שטוען לכך</w:t>
      </w:r>
      <w:r w:rsidR="00276300">
        <w:rPr>
          <w:rFonts w:ascii="David" w:hAnsi="David" w:cs="David" w:hint="cs"/>
          <w:rtl/>
        </w:rPr>
        <w:t xml:space="preserve"> ולו ראיה אחת. וזאת בניגוד</w:t>
      </w:r>
      <w:r w:rsidR="00C355D0">
        <w:rPr>
          <w:rFonts w:ascii="David" w:hAnsi="David" w:cs="David" w:hint="cs"/>
          <w:rtl/>
        </w:rPr>
        <w:t xml:space="preserve"> גמור</w:t>
      </w:r>
      <w:r w:rsidR="00276300">
        <w:rPr>
          <w:rFonts w:ascii="David" w:hAnsi="David" w:cs="David" w:hint="cs"/>
          <w:rtl/>
        </w:rPr>
        <w:t xml:space="preserve"> לפסיקה ולדין.</w:t>
      </w:r>
    </w:p>
    <w:p w14:paraId="55B8136B" w14:textId="77777777" w:rsidR="00C355D0" w:rsidRDefault="00C355D0" w:rsidP="00FC6F1F">
      <w:pPr>
        <w:pStyle w:val="a4"/>
        <w:spacing w:line="360" w:lineRule="auto"/>
        <w:ind w:left="-2"/>
        <w:jc w:val="both"/>
        <w:rPr>
          <w:rFonts w:ascii="David" w:hAnsi="David" w:cs="David"/>
        </w:rPr>
      </w:pPr>
    </w:p>
    <w:p w14:paraId="531CA856" w14:textId="6B3616B4" w:rsidR="00276300" w:rsidRDefault="00276300" w:rsidP="00FC6F1F">
      <w:pPr>
        <w:pStyle w:val="a4"/>
        <w:numPr>
          <w:ilvl w:val="0"/>
          <w:numId w:val="6"/>
        </w:numPr>
        <w:spacing w:line="360" w:lineRule="auto"/>
        <w:ind w:left="-2"/>
        <w:jc w:val="both"/>
        <w:rPr>
          <w:rFonts w:ascii="David" w:hAnsi="David" w:cs="David"/>
        </w:rPr>
      </w:pPr>
      <w:r>
        <w:rPr>
          <w:rFonts w:ascii="David" w:hAnsi="David" w:cs="David" w:hint="cs"/>
          <w:rtl/>
        </w:rPr>
        <w:t xml:space="preserve">המשיב לא הגיש ולו ראיה בדבר נזקו המיוחד, או, לכל הפחות, לא הציג ראיה המצדיקה תשלום פיצוי מעבר לסכומים המשתלמים לו ע"י המל"ל. על אף האמור, בית המשפט קמא פוסק לו פיצוי בראשי נזק אלה בחישוב גלובאלי ובכך "מתגבר" על הדין המחייב הוכחת נזק מיוחד בראיות ובכך מחצין את נזקי המשיב על </w:t>
      </w:r>
      <w:r w:rsidR="00FC6F1F">
        <w:rPr>
          <w:rFonts w:ascii="David" w:hAnsi="David" w:cs="David" w:hint="cs"/>
          <w:rtl/>
        </w:rPr>
        <w:t>המערערים</w:t>
      </w:r>
      <w:r>
        <w:rPr>
          <w:rFonts w:ascii="David" w:hAnsi="David" w:cs="David" w:hint="cs"/>
          <w:rtl/>
        </w:rPr>
        <w:t xml:space="preserve"> שלא בצדק.</w:t>
      </w:r>
    </w:p>
    <w:p w14:paraId="1DB7A8B0" w14:textId="77777777" w:rsidR="00C355D0" w:rsidRPr="00C355D0" w:rsidRDefault="00C355D0" w:rsidP="00FC6F1F">
      <w:pPr>
        <w:spacing w:line="360" w:lineRule="auto"/>
        <w:ind w:left="-2"/>
        <w:jc w:val="both"/>
        <w:rPr>
          <w:rFonts w:ascii="David" w:hAnsi="David" w:cs="David"/>
        </w:rPr>
      </w:pPr>
    </w:p>
    <w:p w14:paraId="75B974BD" w14:textId="7974CE63" w:rsidR="001E69C7" w:rsidRDefault="001E69C7" w:rsidP="002177AD">
      <w:pPr>
        <w:pStyle w:val="a4"/>
        <w:numPr>
          <w:ilvl w:val="0"/>
          <w:numId w:val="6"/>
        </w:numPr>
        <w:spacing w:before="120" w:after="120" w:line="360" w:lineRule="auto"/>
        <w:ind w:left="-2"/>
        <w:jc w:val="both"/>
        <w:rPr>
          <w:rFonts w:ascii="David" w:hAnsi="David" w:cs="David"/>
        </w:rPr>
      </w:pPr>
      <w:r>
        <w:rPr>
          <w:rFonts w:ascii="David" w:hAnsi="David" w:cs="David" w:hint="cs"/>
          <w:rtl/>
        </w:rPr>
        <w:t xml:space="preserve">בית המשפט הנכבד התעלם מהעובדה שהמשיב לא זימן ולו עד אחד, המשיב לא זימן עדים להוכחות העזרה לה הוא טען, עדים בדבר הקשיים הנטענים על ידו ועדים אשר יעידו אודות העסקתו , סביבת עבודתו ותנאיו. עובדה זו לא קיבלה ביטוי בפסק הדין שעה שהייתה צריכה לקבל ביטוי משמעותי, שהרי המסקנה מאי זימון עדים אלה הינה שהבאת ראיות אלה הייתה פעולת כנגדו וכך נקבע להלכה בע"א 55/89 </w:t>
      </w:r>
      <w:r w:rsidRPr="00AC0686">
        <w:rPr>
          <w:rFonts w:ascii="David" w:hAnsi="David" w:cs="David" w:hint="cs"/>
          <w:b/>
          <w:bCs/>
          <w:rtl/>
        </w:rPr>
        <w:t>קופל (נהיגה עצמית) בע"מ נ' טלקאר חברה בע"מ</w:t>
      </w:r>
      <w:r>
        <w:rPr>
          <w:rFonts w:ascii="David" w:hAnsi="David" w:cs="David" w:hint="cs"/>
          <w:rtl/>
        </w:rPr>
        <w:t xml:space="preserve"> מד (4) 595) שם נקבע כדלקמן:</w:t>
      </w:r>
    </w:p>
    <w:p w14:paraId="7BFF9A54" w14:textId="1939988B" w:rsidR="001E69C7" w:rsidRPr="005921D8" w:rsidRDefault="001E69C7" w:rsidP="002177AD">
      <w:pPr>
        <w:pStyle w:val="a4"/>
        <w:spacing w:before="120" w:after="120" w:line="360" w:lineRule="auto"/>
        <w:ind w:left="-2"/>
        <w:jc w:val="both"/>
        <w:rPr>
          <w:rFonts w:ascii="David" w:hAnsi="David" w:cs="David"/>
          <w:b/>
          <w:bCs/>
          <w:rtl/>
        </w:rPr>
      </w:pPr>
      <w:r w:rsidRPr="005921D8">
        <w:rPr>
          <w:rFonts w:ascii="David" w:hAnsi="David" w:cs="David" w:hint="cs"/>
          <w:b/>
          <w:bCs/>
          <w:rtl/>
        </w:rPr>
        <w:t xml:space="preserve">"מעמידים בעל דין בחזקתו שלא ימנע מבית המשפט ראיה שהיא לטובתו, ואם נמנע מהבאת ראיה רלוונטית שהיא בהישג ידו ואין לו לכך הסבר סביר </w:t>
      </w:r>
      <w:r w:rsidRPr="005921D8">
        <w:rPr>
          <w:rFonts w:ascii="David" w:hAnsi="David" w:cs="David"/>
          <w:b/>
          <w:bCs/>
          <w:rtl/>
        </w:rPr>
        <w:t>–</w:t>
      </w:r>
      <w:r w:rsidRPr="005921D8">
        <w:rPr>
          <w:rFonts w:ascii="David" w:hAnsi="David" w:cs="David" w:hint="cs"/>
          <w:b/>
          <w:bCs/>
          <w:rtl/>
        </w:rPr>
        <w:t xml:space="preserve"> ניתן להסיק, שאילו הובאה הראיה הייתה פועלת כנגדו".</w:t>
      </w:r>
    </w:p>
    <w:p w14:paraId="764BE52E" w14:textId="2C8FFE9B" w:rsidR="00AC0686" w:rsidRDefault="00AC0686" w:rsidP="002177AD">
      <w:pPr>
        <w:pStyle w:val="a4"/>
        <w:numPr>
          <w:ilvl w:val="0"/>
          <w:numId w:val="6"/>
        </w:numPr>
        <w:spacing w:before="120" w:after="120" w:line="360" w:lineRule="auto"/>
        <w:ind w:left="57"/>
        <w:rPr>
          <w:rFonts w:ascii="David" w:hAnsi="David" w:cs="David"/>
        </w:rPr>
      </w:pPr>
      <w:r>
        <w:rPr>
          <w:rFonts w:ascii="David" w:hAnsi="David" w:cs="David" w:hint="cs"/>
          <w:rtl/>
        </w:rPr>
        <w:t>בפרוטוקול הדיון מיום 2.1.2024 טוען ב"כ המשיב כדלקמן:</w:t>
      </w:r>
    </w:p>
    <w:p w14:paraId="1EE85EEB" w14:textId="35BBDC79" w:rsidR="00AC0686" w:rsidRDefault="00AC0686" w:rsidP="00D12297">
      <w:pPr>
        <w:pStyle w:val="a4"/>
        <w:spacing w:line="360" w:lineRule="auto"/>
        <w:ind w:left="57"/>
        <w:jc w:val="both"/>
        <w:rPr>
          <w:rFonts w:ascii="David" w:hAnsi="David" w:cs="David"/>
          <w:rtl/>
        </w:rPr>
      </w:pPr>
      <w:r>
        <w:rPr>
          <w:rFonts w:ascii="David" w:hAnsi="David" w:cs="David" w:hint="cs"/>
          <w:rtl/>
        </w:rPr>
        <w:t xml:space="preserve">"אנו נביא, במידת הצורך, עדויות של המפעלים הסמוכים וגם של אנשים שעבדו במפעל עצמו, שהוא היה הכל במפעל. הוא לא היה בא, עובר, לוקח סחורה ומפזר אלא היה חותם על הקבלות, מספק סחורה, מביא את הסיבים עצמם כדי לטחון אותם." (שורות 20 </w:t>
      </w:r>
      <w:r>
        <w:rPr>
          <w:rFonts w:ascii="David" w:hAnsi="David" w:cs="David"/>
          <w:rtl/>
        </w:rPr>
        <w:t>–</w:t>
      </w:r>
      <w:r>
        <w:rPr>
          <w:rFonts w:ascii="David" w:hAnsi="David" w:cs="David" w:hint="cs"/>
          <w:rtl/>
        </w:rPr>
        <w:t xml:space="preserve"> 23 לפרוטוקול).</w:t>
      </w:r>
    </w:p>
    <w:p w14:paraId="3F6FB4CB" w14:textId="77777777" w:rsidR="00C355D0" w:rsidRDefault="00AC0686" w:rsidP="00D12297">
      <w:pPr>
        <w:pStyle w:val="a4"/>
        <w:numPr>
          <w:ilvl w:val="0"/>
          <w:numId w:val="6"/>
        </w:numPr>
        <w:spacing w:line="360" w:lineRule="auto"/>
        <w:ind w:left="57"/>
        <w:jc w:val="both"/>
        <w:rPr>
          <w:rFonts w:ascii="David" w:hAnsi="David" w:cs="David"/>
        </w:rPr>
      </w:pPr>
      <w:r>
        <w:rPr>
          <w:rFonts w:ascii="David" w:hAnsi="David" w:cs="David" w:hint="cs"/>
          <w:rtl/>
        </w:rPr>
        <w:t xml:space="preserve">ב"כ המשיב ממשיך ומבקש להגיש בקשה לזימון עדים ובית המשפט הנכבד קמא נעתר לכך, ועל אף שכבר הוגשו ראיות מאפשר לתובע להגיש בקשה כאמור </w:t>
      </w:r>
      <w:r w:rsidR="00C355D0">
        <w:rPr>
          <w:rFonts w:ascii="David" w:hAnsi="David" w:cs="David" w:hint="cs"/>
          <w:rtl/>
        </w:rPr>
        <w:t>ו</w:t>
      </w:r>
      <w:r>
        <w:rPr>
          <w:rFonts w:ascii="David" w:hAnsi="David" w:cs="David" w:hint="cs"/>
          <w:rtl/>
        </w:rPr>
        <w:t>לא קובע את התיק להוכחות  (עמ' 6 לפרוטוקול שורות 8-9, והחלטת בית המשפט הנכבד קמא שם).</w:t>
      </w:r>
      <w:r w:rsidR="00C355D0">
        <w:rPr>
          <w:rFonts w:ascii="David" w:hAnsi="David" w:cs="David" w:hint="cs"/>
          <w:rtl/>
        </w:rPr>
        <w:t xml:space="preserve"> אך ביום 30.4.24, משלא הוגשה ע"י המשיב בקשה לזימון עדים נקבע התיק להוכחות ליום 5.1.25</w:t>
      </w:r>
    </w:p>
    <w:p w14:paraId="7389A16F" w14:textId="77777777" w:rsidR="00C355D0" w:rsidRDefault="00C355D0" w:rsidP="00FC6F1F">
      <w:pPr>
        <w:pStyle w:val="a4"/>
        <w:spacing w:line="360" w:lineRule="auto"/>
        <w:ind w:left="-2"/>
        <w:jc w:val="both"/>
        <w:rPr>
          <w:rFonts w:ascii="David" w:hAnsi="David" w:cs="David"/>
        </w:rPr>
      </w:pPr>
    </w:p>
    <w:p w14:paraId="60BFBF5E" w14:textId="7AD58C31" w:rsidR="001E69C7" w:rsidRDefault="001E69C7" w:rsidP="00FC6F1F">
      <w:pPr>
        <w:pStyle w:val="a4"/>
        <w:numPr>
          <w:ilvl w:val="0"/>
          <w:numId w:val="6"/>
        </w:numPr>
        <w:spacing w:line="360" w:lineRule="auto"/>
        <w:ind w:left="-2"/>
        <w:jc w:val="both"/>
        <w:rPr>
          <w:rFonts w:ascii="David" w:hAnsi="David" w:cs="David"/>
        </w:rPr>
      </w:pPr>
      <w:r>
        <w:rPr>
          <w:rFonts w:ascii="David" w:hAnsi="David" w:cs="David" w:hint="cs"/>
          <w:rtl/>
        </w:rPr>
        <w:t>בית המשפט קמא משתמש בחזקה האמורה</w:t>
      </w:r>
      <w:r w:rsidR="00C74CA4">
        <w:rPr>
          <w:rFonts w:ascii="David" w:hAnsi="David" w:cs="David" w:hint="cs"/>
          <w:rtl/>
        </w:rPr>
        <w:t xml:space="preserve"> בסעיף 14 לעיל</w:t>
      </w:r>
      <w:r>
        <w:rPr>
          <w:rFonts w:ascii="David" w:hAnsi="David" w:cs="David" w:hint="cs"/>
          <w:rtl/>
        </w:rPr>
        <w:t xml:space="preserve"> ביחס למערער 2 שלא בצדק, מן הטעם הפשוט שראיות אלה אינן בחזקתו מכיוון שאינו מצוי בקשרי העסקה עם המערערת 1.</w:t>
      </w:r>
    </w:p>
    <w:p w14:paraId="4FEC2C19" w14:textId="77777777" w:rsidR="0078400E" w:rsidRPr="0078400E" w:rsidRDefault="0078400E" w:rsidP="0078400E">
      <w:pPr>
        <w:pStyle w:val="a4"/>
        <w:rPr>
          <w:rFonts w:ascii="David" w:hAnsi="David" w:cs="David"/>
          <w:rtl/>
        </w:rPr>
      </w:pPr>
    </w:p>
    <w:p w14:paraId="7DB2D040" w14:textId="77777777" w:rsidR="0078400E" w:rsidRDefault="0078400E" w:rsidP="0078400E">
      <w:pPr>
        <w:pStyle w:val="a4"/>
        <w:spacing w:line="360" w:lineRule="auto"/>
        <w:ind w:left="-2"/>
        <w:jc w:val="both"/>
        <w:rPr>
          <w:rFonts w:ascii="David" w:hAnsi="David" w:cs="David"/>
        </w:rPr>
      </w:pPr>
    </w:p>
    <w:p w14:paraId="7FBF5DE0" w14:textId="12AFB549" w:rsidR="009949A6" w:rsidRPr="00C74CA4" w:rsidRDefault="009949A6" w:rsidP="00FC6F1F">
      <w:pPr>
        <w:pStyle w:val="a4"/>
        <w:numPr>
          <w:ilvl w:val="0"/>
          <w:numId w:val="10"/>
        </w:numPr>
        <w:spacing w:line="360" w:lineRule="auto"/>
        <w:ind w:left="-2" w:right="720"/>
        <w:jc w:val="both"/>
        <w:rPr>
          <w:rFonts w:ascii="David" w:hAnsi="David" w:cs="David"/>
          <w:b/>
          <w:bCs/>
          <w:sz w:val="28"/>
          <w:szCs w:val="28"/>
          <w:u w:val="single"/>
        </w:rPr>
      </w:pPr>
      <w:r w:rsidRPr="00C74CA4">
        <w:rPr>
          <w:rFonts w:ascii="David" w:hAnsi="David" w:cs="David"/>
          <w:b/>
          <w:bCs/>
          <w:sz w:val="28"/>
          <w:szCs w:val="28"/>
          <w:u w:val="single"/>
          <w:rtl/>
        </w:rPr>
        <w:lastRenderedPageBreak/>
        <w:t xml:space="preserve">חלוקת האחריות- </w:t>
      </w:r>
      <w:r w:rsidR="00C74CA4">
        <w:rPr>
          <w:rFonts w:ascii="David" w:hAnsi="David" w:cs="David" w:hint="cs"/>
          <w:b/>
          <w:bCs/>
          <w:sz w:val="28"/>
          <w:szCs w:val="28"/>
          <w:u w:val="single"/>
          <w:rtl/>
        </w:rPr>
        <w:t>הטעות בהטלת אחריות על המערער 2</w:t>
      </w:r>
      <w:r w:rsidRPr="00C74CA4">
        <w:rPr>
          <w:rFonts w:ascii="David" w:hAnsi="David" w:cs="David"/>
          <w:b/>
          <w:bCs/>
          <w:sz w:val="28"/>
          <w:szCs w:val="28"/>
          <w:u w:val="single"/>
          <w:rtl/>
        </w:rPr>
        <w:t>:</w:t>
      </w:r>
    </w:p>
    <w:p w14:paraId="3F99BABD" w14:textId="77777777" w:rsidR="00740819" w:rsidRDefault="00740819" w:rsidP="00FC6F1F">
      <w:pPr>
        <w:pStyle w:val="a4"/>
        <w:numPr>
          <w:ilvl w:val="0"/>
          <w:numId w:val="6"/>
        </w:numPr>
        <w:spacing w:line="360" w:lineRule="auto"/>
        <w:ind w:left="-2"/>
        <w:jc w:val="both"/>
        <w:rPr>
          <w:rFonts w:ascii="David" w:hAnsi="David" w:cs="David"/>
        </w:rPr>
      </w:pPr>
      <w:r>
        <w:rPr>
          <w:rFonts w:ascii="David" w:hAnsi="David" w:cs="David" w:hint="cs"/>
          <w:rtl/>
        </w:rPr>
        <w:t xml:space="preserve">טעה בית המשפט הנכבד קמא בכך שלא התחשב בנסיבות המשפחתיות של המערערים, בית המשפט קמא מציין את עדות המערער 2 בכל הנוגע לריב המשפחתי, לקרבה בין המערער 2 למנוח אך מסתפק בכך תוך ניתוק המורכבות והקרבה </w:t>
      </w:r>
      <w:r w:rsidRPr="00C74CA4">
        <w:rPr>
          <w:rFonts w:ascii="David" w:hAnsi="David" w:cs="David" w:hint="cs"/>
          <w:u w:val="single"/>
          <w:rtl/>
        </w:rPr>
        <w:t>והופך פעולות של עזרה של בן לאביו החולה לפעולות ניהוליות הנעשות ע"י מעביד אשר חב כלפי מי שנתון לשליטתו</w:t>
      </w:r>
      <w:r>
        <w:rPr>
          <w:rFonts w:ascii="David" w:hAnsi="David" w:cs="David" w:hint="cs"/>
          <w:rtl/>
        </w:rPr>
        <w:t>.</w:t>
      </w:r>
    </w:p>
    <w:p w14:paraId="2C7C0D17" w14:textId="77777777" w:rsidR="00740819" w:rsidRDefault="00740819" w:rsidP="00FC6F1F">
      <w:pPr>
        <w:pStyle w:val="a4"/>
        <w:spacing w:line="360" w:lineRule="auto"/>
        <w:ind w:left="-2"/>
        <w:jc w:val="both"/>
        <w:rPr>
          <w:rFonts w:ascii="David" w:hAnsi="David" w:cs="David"/>
        </w:rPr>
      </w:pPr>
    </w:p>
    <w:p w14:paraId="79D43F78" w14:textId="4C27DCDD" w:rsidR="00740819" w:rsidRDefault="00740819" w:rsidP="00FC6F1F">
      <w:pPr>
        <w:pStyle w:val="a4"/>
        <w:numPr>
          <w:ilvl w:val="0"/>
          <w:numId w:val="6"/>
        </w:numPr>
        <w:spacing w:line="360" w:lineRule="auto"/>
        <w:ind w:left="-2"/>
        <w:jc w:val="both"/>
        <w:rPr>
          <w:rFonts w:ascii="David" w:hAnsi="David" w:cs="David"/>
        </w:rPr>
      </w:pPr>
      <w:r>
        <w:rPr>
          <w:rFonts w:ascii="David" w:hAnsi="David" w:cs="David" w:hint="cs"/>
          <w:rtl/>
        </w:rPr>
        <w:t xml:space="preserve">שגה בית המשפט הנכבד קמא שעה בקובעו כי המערער 2 מנהל ו/או מעסיק וכי חלה עליו חובת זהירות ביחס למשיב ראה ע"א 54389-11-10 </w:t>
      </w:r>
      <w:r>
        <w:rPr>
          <w:rFonts w:ascii="David" w:hAnsi="David" w:cs="David" w:hint="cs"/>
          <w:b/>
          <w:bCs/>
          <w:rtl/>
        </w:rPr>
        <w:t>נ' ד' (קטין) נ' עצמל'ה ר</w:t>
      </w:r>
      <w:r w:rsidR="00D83EE1">
        <w:rPr>
          <w:rFonts w:ascii="David" w:hAnsi="David" w:cs="David" w:hint="cs"/>
          <w:b/>
          <w:bCs/>
          <w:rtl/>
        </w:rPr>
        <w:t>ה</w:t>
      </w:r>
      <w:r>
        <w:rPr>
          <w:rFonts w:ascii="David" w:hAnsi="David" w:cs="David" w:hint="cs"/>
          <w:b/>
          <w:bCs/>
          <w:rtl/>
        </w:rPr>
        <w:t>יטים לילדים בע"מ</w:t>
      </w:r>
      <w:r>
        <w:rPr>
          <w:rFonts w:ascii="David" w:hAnsi="David" w:cs="David" w:hint="cs"/>
          <w:rtl/>
        </w:rPr>
        <w:t xml:space="preserve"> (פורסם בנבו)</w:t>
      </w:r>
      <w:r w:rsidR="002B7B54">
        <w:rPr>
          <w:rFonts w:ascii="David" w:hAnsi="David" w:cs="David" w:hint="cs"/>
          <w:rtl/>
        </w:rPr>
        <w:t xml:space="preserve"> אחריותו של המערער 2 מתקיימת רק בהינתן היותו מעסיק/מנהל ומשלא </w:t>
      </w:r>
      <w:r w:rsidR="002177AD">
        <w:rPr>
          <w:rFonts w:ascii="David" w:hAnsi="David" w:cs="David" w:hint="cs"/>
          <w:rtl/>
        </w:rPr>
        <w:t>הוכח</w:t>
      </w:r>
      <w:r w:rsidR="002B7B54">
        <w:rPr>
          <w:rFonts w:ascii="David" w:hAnsi="David" w:cs="David" w:hint="cs"/>
          <w:rtl/>
        </w:rPr>
        <w:t xml:space="preserve"> טעה בית המשפט </w:t>
      </w:r>
      <w:r w:rsidR="002177AD">
        <w:rPr>
          <w:rFonts w:ascii="David" w:hAnsi="David" w:cs="David" w:hint="cs"/>
          <w:rtl/>
        </w:rPr>
        <w:t>בהטילו</w:t>
      </w:r>
      <w:r w:rsidR="002B7B54">
        <w:rPr>
          <w:rFonts w:ascii="David" w:hAnsi="David" w:cs="David" w:hint="cs"/>
          <w:rtl/>
        </w:rPr>
        <w:t xml:space="preserve"> עליו אחריות.</w:t>
      </w:r>
    </w:p>
    <w:p w14:paraId="3F0B6377" w14:textId="77777777" w:rsidR="002B7B54" w:rsidRPr="002B7B54" w:rsidRDefault="002B7B54" w:rsidP="002B7B54">
      <w:pPr>
        <w:pStyle w:val="a4"/>
        <w:rPr>
          <w:rFonts w:ascii="David" w:hAnsi="David" w:cs="David"/>
          <w:rtl/>
        </w:rPr>
      </w:pPr>
    </w:p>
    <w:p w14:paraId="125AFB62" w14:textId="55C54206" w:rsidR="00C355D0" w:rsidRDefault="00C355D0" w:rsidP="00FC6F1F">
      <w:pPr>
        <w:pStyle w:val="a4"/>
        <w:numPr>
          <w:ilvl w:val="0"/>
          <w:numId w:val="6"/>
        </w:numPr>
        <w:spacing w:line="360" w:lineRule="auto"/>
        <w:ind w:left="-2"/>
        <w:jc w:val="both"/>
        <w:rPr>
          <w:rFonts w:ascii="David" w:hAnsi="David" w:cs="David"/>
        </w:rPr>
      </w:pPr>
      <w:r>
        <w:rPr>
          <w:rFonts w:ascii="David" w:hAnsi="David" w:cs="David" w:hint="cs"/>
          <w:rtl/>
        </w:rPr>
        <w:t xml:space="preserve">טענות המשיב עומדות בסתירה אינהרנטית </w:t>
      </w:r>
      <w:r>
        <w:rPr>
          <w:rFonts w:ascii="David" w:hAnsi="David" w:cs="David"/>
          <w:rtl/>
        </w:rPr>
        <w:t>–</w:t>
      </w:r>
      <w:r>
        <w:rPr>
          <w:rFonts w:ascii="David" w:hAnsi="David" w:cs="David" w:hint="cs"/>
          <w:rtl/>
        </w:rPr>
        <w:t xml:space="preserve"> כך לדוגמא טענות בדבר היות המערער 2 בעלים אשר עובדתית אינן נכונות</w:t>
      </w:r>
      <w:r w:rsidR="0091434E">
        <w:rPr>
          <w:rFonts w:ascii="David" w:hAnsi="David" w:cs="David" w:hint="cs"/>
          <w:rtl/>
        </w:rPr>
        <w:t xml:space="preserve"> ולא הוכחו</w:t>
      </w:r>
      <w:r>
        <w:rPr>
          <w:rFonts w:ascii="David" w:hAnsi="David" w:cs="David" w:hint="cs"/>
          <w:rtl/>
        </w:rPr>
        <w:t xml:space="preserve">, כמו גם הטענה כי "במהלך השנים 2017-2018 כל עבודתו של התובע הייתה מול הנתבע" (פסקה 30 לפסק הדין, שורה 4, עמ' 7) אינה נכונה והמשיב שעומת עם היות המערער 2 חולה בשנים הללו שינה את גירסתו </w:t>
      </w:r>
      <w:r w:rsidR="002177AD">
        <w:rPr>
          <w:rFonts w:ascii="David" w:hAnsi="David" w:cs="David" w:hint="cs"/>
          <w:rtl/>
        </w:rPr>
        <w:t xml:space="preserve">והתאימה </w:t>
      </w:r>
      <w:r>
        <w:rPr>
          <w:rFonts w:ascii="David" w:hAnsi="David" w:cs="David" w:hint="cs"/>
          <w:rtl/>
        </w:rPr>
        <w:t>(</w:t>
      </w:r>
      <w:r w:rsidR="00C74CA4">
        <w:rPr>
          <w:rFonts w:ascii="David" w:hAnsi="David" w:cs="David" w:hint="cs"/>
          <w:rtl/>
        </w:rPr>
        <w:t xml:space="preserve">עמ' 8, ש' 22 </w:t>
      </w:r>
      <w:r w:rsidR="00C74CA4">
        <w:rPr>
          <w:rFonts w:ascii="David" w:hAnsi="David" w:cs="David"/>
          <w:rtl/>
        </w:rPr>
        <w:t>–</w:t>
      </w:r>
      <w:r w:rsidR="00C74CA4">
        <w:rPr>
          <w:rFonts w:ascii="David" w:hAnsi="David" w:cs="David" w:hint="cs"/>
          <w:rtl/>
        </w:rPr>
        <w:t xml:space="preserve"> 39, עמ' 9 ש'1 </w:t>
      </w:r>
      <w:r w:rsidR="00C74CA4">
        <w:rPr>
          <w:rFonts w:ascii="David" w:hAnsi="David" w:cs="David"/>
          <w:rtl/>
        </w:rPr>
        <w:t>–</w:t>
      </w:r>
      <w:r w:rsidR="00C74CA4">
        <w:rPr>
          <w:rFonts w:ascii="David" w:hAnsi="David" w:cs="David" w:hint="cs"/>
          <w:rtl/>
        </w:rPr>
        <w:t xml:space="preserve"> 2  לפרוטוקול דיון ההוכחות</w:t>
      </w:r>
      <w:r>
        <w:rPr>
          <w:rFonts w:ascii="David" w:hAnsi="David" w:cs="David" w:hint="cs"/>
          <w:rtl/>
        </w:rPr>
        <w:t>).</w:t>
      </w:r>
    </w:p>
    <w:p w14:paraId="12CDCE71" w14:textId="77777777" w:rsidR="00C74CA4" w:rsidRDefault="00C74CA4" w:rsidP="00FC6F1F">
      <w:pPr>
        <w:pStyle w:val="a4"/>
        <w:spacing w:line="360" w:lineRule="auto"/>
        <w:ind w:left="-2"/>
        <w:jc w:val="both"/>
        <w:rPr>
          <w:rFonts w:ascii="David" w:hAnsi="David" w:cs="David"/>
        </w:rPr>
      </w:pPr>
    </w:p>
    <w:p w14:paraId="39E1AA5A" w14:textId="7776460E" w:rsidR="00C74CA4" w:rsidRPr="009B4F51" w:rsidRDefault="00C355D0" w:rsidP="009B4F51">
      <w:pPr>
        <w:pStyle w:val="a4"/>
        <w:numPr>
          <w:ilvl w:val="0"/>
          <w:numId w:val="6"/>
        </w:numPr>
        <w:spacing w:line="360" w:lineRule="auto"/>
        <w:ind w:left="-2"/>
        <w:jc w:val="both"/>
        <w:rPr>
          <w:rFonts w:ascii="David" w:hAnsi="David" w:cs="David"/>
        </w:rPr>
      </w:pPr>
      <w:r>
        <w:rPr>
          <w:rFonts w:ascii="David" w:hAnsi="David" w:cs="David" w:hint="cs"/>
          <w:rtl/>
        </w:rPr>
        <w:t xml:space="preserve">לבקשת המשיב, שכרו כפי שבא לידי ביטוי בתלוש השכר שולם לו במזומן בסוף שבוע העבודה בגין השבוע החולף. </w:t>
      </w:r>
      <w:r w:rsidR="009B4F51">
        <w:rPr>
          <w:rFonts w:ascii="David" w:hAnsi="David" w:cs="David" w:hint="cs"/>
          <w:rtl/>
        </w:rPr>
        <w:t xml:space="preserve"> </w:t>
      </w:r>
      <w:r w:rsidR="00C74CA4" w:rsidRPr="009B4F51">
        <w:rPr>
          <w:rFonts w:ascii="David" w:hAnsi="David" w:cs="David" w:hint="cs"/>
          <w:rtl/>
        </w:rPr>
        <w:t xml:space="preserve">טעה בית המשפט הנכבד קמא במסקנתו בנוגע לתשלום במזומן. </w:t>
      </w:r>
      <w:r w:rsidRPr="009B4F51">
        <w:rPr>
          <w:rFonts w:ascii="David" w:hAnsi="David" w:cs="David" w:hint="cs"/>
          <w:rtl/>
        </w:rPr>
        <w:t>התשלום במזומן אליו מתייחס בית משפט קמא (עמ' 7 ס' 30 לפסה"ד)</w:t>
      </w:r>
      <w:r w:rsidR="00C74CA4" w:rsidRPr="009B4F51">
        <w:rPr>
          <w:rFonts w:ascii="David" w:hAnsi="David" w:cs="David" w:hint="cs"/>
          <w:rtl/>
        </w:rPr>
        <w:t xml:space="preserve"> אינו תשלום שהוצא </w:t>
      </w:r>
      <w:r w:rsidR="002177AD">
        <w:rPr>
          <w:rFonts w:ascii="David" w:hAnsi="David" w:cs="David" w:hint="cs"/>
          <w:rtl/>
        </w:rPr>
        <w:t xml:space="preserve">ע"י </w:t>
      </w:r>
      <w:r w:rsidR="00C74CA4" w:rsidRPr="009B4F51">
        <w:rPr>
          <w:rFonts w:ascii="David" w:hAnsi="David" w:cs="David" w:hint="cs"/>
          <w:rtl/>
        </w:rPr>
        <w:t xml:space="preserve">המערער 2 ושולם למשיב, אלא, כסף שהועבר </w:t>
      </w:r>
      <w:r w:rsidR="002177AD">
        <w:rPr>
          <w:rFonts w:ascii="David" w:hAnsi="David" w:cs="David" w:hint="cs"/>
          <w:rtl/>
        </w:rPr>
        <w:t>מ</w:t>
      </w:r>
      <w:r w:rsidR="00C74CA4" w:rsidRPr="009B4F51">
        <w:rPr>
          <w:rFonts w:ascii="David" w:hAnsi="David" w:cs="David" w:hint="cs"/>
          <w:rtl/>
        </w:rPr>
        <w:t>המנוח למשיב באמצעות המערער 2 .</w:t>
      </w:r>
      <w:r w:rsidRPr="009B4F51">
        <w:rPr>
          <w:rFonts w:ascii="David" w:hAnsi="David" w:cs="David" w:hint="cs"/>
          <w:rtl/>
        </w:rPr>
        <w:t xml:space="preserve"> אין ב</w:t>
      </w:r>
      <w:r w:rsidR="00C74CA4" w:rsidRPr="009B4F51">
        <w:rPr>
          <w:rFonts w:ascii="David" w:hAnsi="David" w:cs="David" w:hint="cs"/>
          <w:rtl/>
        </w:rPr>
        <w:t>כך</w:t>
      </w:r>
      <w:r w:rsidRPr="009B4F51">
        <w:rPr>
          <w:rFonts w:ascii="David" w:hAnsi="David" w:cs="David" w:hint="cs"/>
          <w:rtl/>
        </w:rPr>
        <w:t xml:space="preserve"> כדי להעיד על דבר זולת העזרה שהעניק המערער 2 לאביו החולה.</w:t>
      </w:r>
      <w:r w:rsidR="00C74CA4" w:rsidRPr="009B4F51">
        <w:rPr>
          <w:rFonts w:ascii="David" w:hAnsi="David" w:cs="David" w:hint="cs"/>
          <w:rtl/>
        </w:rPr>
        <w:t xml:space="preserve"> </w:t>
      </w:r>
    </w:p>
    <w:p w14:paraId="2151055B" w14:textId="77777777" w:rsidR="00C74CA4" w:rsidRPr="00C74CA4" w:rsidRDefault="00C74CA4" w:rsidP="00FC6F1F">
      <w:pPr>
        <w:pStyle w:val="a4"/>
        <w:ind w:left="-2"/>
        <w:rPr>
          <w:rFonts w:ascii="David" w:hAnsi="David" w:cs="David"/>
          <w:rtl/>
        </w:rPr>
      </w:pPr>
    </w:p>
    <w:p w14:paraId="5DB2A1FF" w14:textId="5A869105" w:rsidR="00C355D0" w:rsidRDefault="00C74CA4" w:rsidP="00FC6F1F">
      <w:pPr>
        <w:pStyle w:val="a4"/>
        <w:numPr>
          <w:ilvl w:val="0"/>
          <w:numId w:val="6"/>
        </w:numPr>
        <w:spacing w:line="360" w:lineRule="auto"/>
        <w:ind w:left="-2"/>
        <w:jc w:val="both"/>
        <w:rPr>
          <w:rFonts w:ascii="David" w:hAnsi="David" w:cs="David"/>
        </w:rPr>
      </w:pPr>
      <w:r>
        <w:rPr>
          <w:rFonts w:ascii="David" w:hAnsi="David" w:cs="David" w:hint="cs"/>
          <w:rtl/>
        </w:rPr>
        <w:t xml:space="preserve">להבדיל, </w:t>
      </w:r>
      <w:r w:rsidR="002177AD">
        <w:rPr>
          <w:rFonts w:ascii="David" w:hAnsi="David" w:cs="David" w:hint="cs"/>
          <w:rtl/>
        </w:rPr>
        <w:t xml:space="preserve">גם </w:t>
      </w:r>
      <w:r>
        <w:rPr>
          <w:rFonts w:ascii="David" w:hAnsi="David" w:cs="David" w:hint="cs"/>
          <w:rtl/>
        </w:rPr>
        <w:t xml:space="preserve">במקרים של תשלום ממש, מכיס גורם חיצוני למעביד, </w:t>
      </w:r>
      <w:r w:rsidR="00C355D0">
        <w:rPr>
          <w:rFonts w:ascii="David" w:hAnsi="David" w:cs="David" w:hint="cs"/>
          <w:rtl/>
        </w:rPr>
        <w:t>כבר נקבע בפסיקה</w:t>
      </w:r>
      <w:r>
        <w:rPr>
          <w:rFonts w:ascii="David" w:hAnsi="David" w:cs="David" w:hint="cs"/>
          <w:rtl/>
        </w:rPr>
        <w:t>,</w:t>
      </w:r>
      <w:r w:rsidR="00C355D0">
        <w:rPr>
          <w:rFonts w:ascii="David" w:hAnsi="David" w:cs="David" w:hint="cs"/>
          <w:rtl/>
        </w:rPr>
        <w:t xml:space="preserve"> בשורה של פסקי דין</w:t>
      </w:r>
      <w:r>
        <w:rPr>
          <w:rFonts w:ascii="David" w:hAnsi="David" w:cs="David" w:hint="cs"/>
          <w:rtl/>
        </w:rPr>
        <w:t>,</w:t>
      </w:r>
      <w:r w:rsidR="00C355D0">
        <w:rPr>
          <w:rFonts w:ascii="David" w:hAnsi="David" w:cs="David" w:hint="cs"/>
          <w:rtl/>
        </w:rPr>
        <w:t xml:space="preserve"> כי תשלום אינו מהווה טעם המצדיק הטלת אחריות, או ליתר דיוק, החלת יחסי עובד-מעביד. המבחן בהתאם לפקודת הנזיקין ולדין הינו מבחן השליטה הגמורה. (בעניין זה ראו בש"א (חיפה) 14581/03 </w:t>
      </w:r>
      <w:r w:rsidR="00C355D0" w:rsidRPr="00E8143A">
        <w:rPr>
          <w:rFonts w:ascii="David" w:hAnsi="David" w:cs="David"/>
          <w:b/>
          <w:bCs/>
          <w:color w:val="000000"/>
          <w:rtl/>
        </w:rPr>
        <w:t>מרמנת אירגון וניהול פרוייקטים</w:t>
      </w:r>
      <w:r w:rsidR="00C355D0">
        <w:rPr>
          <w:rFonts w:ascii="David" w:hAnsi="David" w:cs="David" w:hint="cs"/>
          <w:b/>
          <w:bCs/>
          <w:color w:val="000000"/>
          <w:rtl/>
        </w:rPr>
        <w:t xml:space="preserve"> ואח'</w:t>
      </w:r>
      <w:r w:rsidR="00C355D0" w:rsidRPr="00E8143A">
        <w:rPr>
          <w:rFonts w:ascii="David" w:hAnsi="David" w:cs="David"/>
          <w:b/>
          <w:bCs/>
          <w:color w:val="000000"/>
          <w:rtl/>
        </w:rPr>
        <w:t xml:space="preserve"> נ' מדינת ישראל-משרד החינוך והתרבות</w:t>
      </w:r>
      <w:r w:rsidR="00C355D0">
        <w:rPr>
          <w:rFonts w:ascii="David" w:hAnsi="David" w:cs="David" w:hint="cs"/>
          <w:b/>
          <w:bCs/>
          <w:color w:val="000000"/>
          <w:rtl/>
        </w:rPr>
        <w:t xml:space="preserve"> ואח'</w:t>
      </w:r>
      <w:r w:rsidR="00C355D0">
        <w:rPr>
          <w:rFonts w:ascii="David" w:hAnsi="David" w:cs="David" w:hint="cs"/>
          <w:rtl/>
        </w:rPr>
        <w:t xml:space="preserve"> (פורסם בנבו)</w:t>
      </w:r>
      <w:r w:rsidR="002177AD">
        <w:rPr>
          <w:rFonts w:ascii="David" w:hAnsi="David" w:cs="David" w:hint="cs"/>
          <w:rtl/>
        </w:rPr>
        <w:t>.</w:t>
      </w:r>
    </w:p>
    <w:p w14:paraId="08BE94B1" w14:textId="77777777" w:rsidR="00C355D0" w:rsidRDefault="00C355D0" w:rsidP="00FC6F1F">
      <w:pPr>
        <w:pStyle w:val="a4"/>
        <w:spacing w:line="360" w:lineRule="auto"/>
        <w:ind w:left="-2"/>
        <w:jc w:val="both"/>
        <w:rPr>
          <w:rFonts w:ascii="David" w:hAnsi="David" w:cs="David"/>
        </w:rPr>
      </w:pPr>
    </w:p>
    <w:p w14:paraId="5C75A0CD" w14:textId="0D8124B2" w:rsidR="009949A6" w:rsidRDefault="009949A6" w:rsidP="00FC6F1F">
      <w:pPr>
        <w:pStyle w:val="a4"/>
        <w:numPr>
          <w:ilvl w:val="0"/>
          <w:numId w:val="6"/>
        </w:numPr>
        <w:spacing w:line="360" w:lineRule="auto"/>
        <w:ind w:left="-2"/>
        <w:jc w:val="both"/>
        <w:rPr>
          <w:rFonts w:ascii="David" w:hAnsi="David" w:cs="David"/>
        </w:rPr>
      </w:pPr>
      <w:r w:rsidRPr="00C762A8">
        <w:rPr>
          <w:rFonts w:ascii="David" w:hAnsi="David" w:cs="David" w:hint="cs"/>
          <w:b/>
          <w:bCs/>
          <w:u w:val="single"/>
          <w:rtl/>
        </w:rPr>
        <w:t>עובדות שאין עליהן מחלוקת</w:t>
      </w:r>
      <w:r w:rsidRPr="009949A6">
        <w:rPr>
          <w:rFonts w:ascii="David" w:hAnsi="David" w:cs="David" w:hint="cs"/>
          <w:rtl/>
        </w:rPr>
        <w:t>: המשיב הועסק ע"י הנתבעת 1 ברצף משנת 2006</w:t>
      </w:r>
      <w:r w:rsidR="00C762A8">
        <w:rPr>
          <w:rFonts w:ascii="David" w:hAnsi="David" w:cs="David" w:hint="cs"/>
          <w:rtl/>
        </w:rPr>
        <w:t xml:space="preserve"> (עמ' 3, שורה 3 לפרוטוקול דיון ההוכחות)</w:t>
      </w:r>
      <w:r w:rsidRPr="009949A6">
        <w:rPr>
          <w:rFonts w:ascii="David" w:hAnsi="David" w:cs="David" w:hint="cs"/>
          <w:rtl/>
        </w:rPr>
        <w:t>, הנתבעת 1 הנפיקה לו תלושי שכר</w:t>
      </w:r>
      <w:r w:rsidR="00C762A8">
        <w:rPr>
          <w:rFonts w:ascii="David" w:hAnsi="David" w:cs="David" w:hint="cs"/>
          <w:rtl/>
        </w:rPr>
        <w:t xml:space="preserve"> (ס' 3 לתצהיר המשיב (התובע שם))</w:t>
      </w:r>
      <w:r w:rsidRPr="009949A6">
        <w:rPr>
          <w:rFonts w:ascii="David" w:hAnsi="David" w:cs="David" w:hint="cs"/>
          <w:rtl/>
        </w:rPr>
        <w:t>, הנתבעת 1 היא הגורם המעסיק בהתאם לרישומי המל"ל לרבות בטופסי התביעה לביטוח הלאומי, עובדה נוספת היא שהמשיב היה מעורב בתאונה קודמת בנסיבות דומות שיש בהן כשלעצמן כדי להביא למתן הכרעה צודקת כפי שיפורט להלן.</w:t>
      </w:r>
    </w:p>
    <w:p w14:paraId="5AED4332" w14:textId="77777777" w:rsidR="00C762A8" w:rsidRPr="00C762A8" w:rsidRDefault="00C762A8" w:rsidP="00FC6F1F">
      <w:pPr>
        <w:pStyle w:val="a4"/>
        <w:ind w:left="-2"/>
        <w:rPr>
          <w:rFonts w:ascii="David" w:hAnsi="David" w:cs="David"/>
          <w:rtl/>
        </w:rPr>
      </w:pPr>
    </w:p>
    <w:p w14:paraId="006DAE17" w14:textId="0064E6DA" w:rsidR="00C355D0" w:rsidRDefault="00C355D0" w:rsidP="00FC6F1F">
      <w:pPr>
        <w:pStyle w:val="a4"/>
        <w:numPr>
          <w:ilvl w:val="0"/>
          <w:numId w:val="6"/>
        </w:numPr>
        <w:spacing w:line="360" w:lineRule="auto"/>
        <w:ind w:left="-2"/>
        <w:jc w:val="both"/>
        <w:rPr>
          <w:rFonts w:ascii="David" w:hAnsi="David" w:cs="David"/>
        </w:rPr>
      </w:pPr>
      <w:r>
        <w:rPr>
          <w:rFonts w:ascii="David" w:hAnsi="David" w:cs="David" w:hint="cs"/>
          <w:rtl/>
        </w:rPr>
        <w:t>במועדים הרלוונטיים המערער 2 לא היה מועסק ו/או מעסיק מטעם המערערת 1 דה פקטו ודה יורה.</w:t>
      </w:r>
      <w:r w:rsidR="0091434E">
        <w:rPr>
          <w:rFonts w:ascii="David" w:hAnsi="David" w:cs="David" w:hint="cs"/>
          <w:rtl/>
        </w:rPr>
        <w:t xml:space="preserve"> </w:t>
      </w:r>
      <w:r>
        <w:rPr>
          <w:rFonts w:ascii="David" w:hAnsi="David" w:cs="David" w:hint="cs"/>
          <w:rtl/>
        </w:rPr>
        <w:t xml:space="preserve"> לא זו בלבד, שנעדר מעמד ביחסים שבין הנפגע לבין המעסיקה, </w:t>
      </w:r>
      <w:r w:rsidR="00C762A8">
        <w:rPr>
          <w:rFonts w:ascii="David" w:hAnsi="David" w:cs="David" w:hint="cs"/>
          <w:rtl/>
        </w:rPr>
        <w:t xml:space="preserve">בשנים 2017 </w:t>
      </w:r>
      <w:r w:rsidR="00C762A8">
        <w:rPr>
          <w:rFonts w:ascii="David" w:hAnsi="David" w:cs="David"/>
          <w:rtl/>
        </w:rPr>
        <w:t>–</w:t>
      </w:r>
      <w:r w:rsidR="00C762A8">
        <w:rPr>
          <w:rFonts w:ascii="David" w:hAnsi="David" w:cs="David" w:hint="cs"/>
          <w:rtl/>
        </w:rPr>
        <w:t xml:space="preserve"> 2018 היה בעיצומו של מאבק במחלת הסרטן ונזקק לאשפוז יום וטיפולים כימותרפיים ועד היום הוא נזקק למעקב רפואי. לאחר שדעכה עוצמת המחלה פתח את החברה בבעלותו </w:t>
      </w:r>
      <w:r>
        <w:rPr>
          <w:rFonts w:ascii="David" w:hAnsi="David" w:cs="David" w:hint="cs"/>
          <w:rtl/>
        </w:rPr>
        <w:t>(עמ' 7 פסקה 31 לפסה"ד)</w:t>
      </w:r>
      <w:r w:rsidR="00FC6F1F">
        <w:rPr>
          <w:rFonts w:ascii="David" w:hAnsi="David" w:cs="David" w:hint="cs"/>
          <w:rtl/>
        </w:rPr>
        <w:t>.</w:t>
      </w:r>
    </w:p>
    <w:p w14:paraId="0ABC6234" w14:textId="77777777" w:rsidR="00C355D0" w:rsidRPr="00460588" w:rsidRDefault="00C355D0" w:rsidP="00FC6F1F">
      <w:pPr>
        <w:pStyle w:val="a4"/>
        <w:spacing w:line="360" w:lineRule="auto"/>
        <w:ind w:left="-2"/>
        <w:rPr>
          <w:rFonts w:ascii="David" w:hAnsi="David" w:cs="David"/>
          <w:rtl/>
        </w:rPr>
      </w:pPr>
    </w:p>
    <w:p w14:paraId="7810210E" w14:textId="03D78C49" w:rsidR="00C355D0" w:rsidRDefault="00C355D0" w:rsidP="00FC6F1F">
      <w:pPr>
        <w:pStyle w:val="a4"/>
        <w:numPr>
          <w:ilvl w:val="0"/>
          <w:numId w:val="6"/>
        </w:numPr>
        <w:spacing w:line="360" w:lineRule="auto"/>
        <w:ind w:left="-2"/>
        <w:jc w:val="both"/>
        <w:rPr>
          <w:rFonts w:ascii="David" w:hAnsi="David" w:cs="David"/>
        </w:rPr>
      </w:pPr>
      <w:r>
        <w:rPr>
          <w:rFonts w:ascii="David" w:hAnsi="David" w:cs="David" w:hint="cs"/>
          <w:rtl/>
        </w:rPr>
        <w:t xml:space="preserve">עם זאת, חרף מצבו ועל אף עליות ומורדות ביחסים בין בני המשפחה, בכל המועדים היה המערער קרוב אצל הוריו ומעת שחלה </w:t>
      </w:r>
      <w:r w:rsidR="00B21DD7">
        <w:rPr>
          <w:rFonts w:ascii="David" w:hAnsi="David" w:cs="David" w:hint="cs"/>
          <w:rtl/>
        </w:rPr>
        <w:t>אביו</w:t>
      </w:r>
      <w:r>
        <w:rPr>
          <w:rFonts w:ascii="David" w:hAnsi="David" w:cs="David" w:hint="cs"/>
          <w:rtl/>
        </w:rPr>
        <w:t xml:space="preserve"> סייע המערער 2 בידיו,  כמצופה מבן כלפי אביו ויש שיגידו כמתבקש.</w:t>
      </w:r>
    </w:p>
    <w:p w14:paraId="118B34AE" w14:textId="77777777" w:rsidR="00B21DD7" w:rsidRPr="00B21DD7" w:rsidRDefault="00B21DD7" w:rsidP="00FC6F1F">
      <w:pPr>
        <w:spacing w:line="360" w:lineRule="auto"/>
        <w:ind w:left="-2"/>
        <w:jc w:val="both"/>
        <w:rPr>
          <w:rFonts w:ascii="David" w:hAnsi="David" w:cs="David"/>
        </w:rPr>
      </w:pPr>
    </w:p>
    <w:p w14:paraId="08182CE1" w14:textId="77777777" w:rsidR="00B21DD7" w:rsidRDefault="00C355D0" w:rsidP="00FC6F1F">
      <w:pPr>
        <w:pStyle w:val="a4"/>
        <w:numPr>
          <w:ilvl w:val="0"/>
          <w:numId w:val="6"/>
        </w:numPr>
        <w:spacing w:line="360" w:lineRule="auto"/>
        <w:ind w:left="-2" w:right="-142"/>
        <w:jc w:val="both"/>
        <w:rPr>
          <w:rFonts w:ascii="David" w:hAnsi="David" w:cs="David"/>
        </w:rPr>
      </w:pPr>
      <w:r>
        <w:rPr>
          <w:rFonts w:ascii="David" w:hAnsi="David" w:cs="David" w:hint="cs"/>
          <w:rtl/>
        </w:rPr>
        <w:lastRenderedPageBreak/>
        <w:t>כל הראיות מצביעות על כך שהמערערת 1 העסיקה את המשיב והמנוח היה הבעלים והמנהל</w:t>
      </w:r>
      <w:r w:rsidR="00B21DD7">
        <w:rPr>
          <w:rFonts w:ascii="David" w:hAnsi="David" w:cs="David" w:hint="cs"/>
          <w:rtl/>
        </w:rPr>
        <w:t xml:space="preserve"> </w:t>
      </w:r>
      <w:r w:rsidR="00B21DD7">
        <w:rPr>
          <w:rFonts w:ascii="David" w:hAnsi="David" w:cs="David"/>
          <w:rtl/>
        </w:rPr>
        <w:t>–</w:t>
      </w:r>
      <w:r w:rsidR="00B21DD7">
        <w:rPr>
          <w:rFonts w:ascii="David" w:hAnsi="David" w:cs="David" w:hint="cs"/>
          <w:rtl/>
        </w:rPr>
        <w:t xml:space="preserve"> הדבר נקבעה גם בפסק הדין: "אף הבסיס הראייתי ברור, שכן מרגע שהוכחה אחריות של הנתבעת, ומי שניהל את הנתבעת הוא המנוח, הרי המנוח אחראי לנזקי התובע מכוח עקרון האחריות האישית. לפיכך קיימת אחריות אישית של המנוח להתרשלות שפורטה בפרק הקודם" (עמ' 6 לפסק הדין, פסקה 28 ש' 21 </w:t>
      </w:r>
      <w:r w:rsidR="00B21DD7">
        <w:rPr>
          <w:rFonts w:ascii="David" w:hAnsi="David" w:cs="David"/>
          <w:rtl/>
        </w:rPr>
        <w:t>–</w:t>
      </w:r>
      <w:r w:rsidR="00B21DD7">
        <w:rPr>
          <w:rFonts w:ascii="David" w:hAnsi="David" w:cs="David" w:hint="cs"/>
          <w:rtl/>
        </w:rPr>
        <w:t xml:space="preserve"> 25).</w:t>
      </w:r>
      <w:r>
        <w:rPr>
          <w:rFonts w:ascii="David" w:hAnsi="David" w:cs="David" w:hint="cs"/>
          <w:rtl/>
        </w:rPr>
        <w:t xml:space="preserve"> </w:t>
      </w:r>
    </w:p>
    <w:p w14:paraId="227E74B4" w14:textId="77777777" w:rsidR="00B21DD7" w:rsidRPr="00B21DD7" w:rsidRDefault="00B21DD7" w:rsidP="00FC6F1F">
      <w:pPr>
        <w:pStyle w:val="a4"/>
        <w:ind w:left="-2"/>
        <w:rPr>
          <w:rFonts w:ascii="David" w:hAnsi="David" w:cs="David"/>
          <w:rtl/>
        </w:rPr>
      </w:pPr>
    </w:p>
    <w:p w14:paraId="67BE5D1A" w14:textId="3903FC82" w:rsidR="00C355D0" w:rsidRDefault="00B21DD7" w:rsidP="00FC6F1F">
      <w:pPr>
        <w:pStyle w:val="a4"/>
        <w:numPr>
          <w:ilvl w:val="0"/>
          <w:numId w:val="6"/>
        </w:numPr>
        <w:spacing w:line="360" w:lineRule="auto"/>
        <w:ind w:left="-2" w:right="-142"/>
        <w:jc w:val="both"/>
        <w:rPr>
          <w:rFonts w:ascii="David" w:hAnsi="David" w:cs="David"/>
        </w:rPr>
      </w:pPr>
      <w:r>
        <w:rPr>
          <w:rFonts w:ascii="David" w:hAnsi="David" w:cs="David" w:hint="cs"/>
          <w:rtl/>
        </w:rPr>
        <w:t xml:space="preserve">חרף קביעה זו טעה בית המשפט </w:t>
      </w:r>
      <w:r w:rsidR="00C355D0">
        <w:rPr>
          <w:rFonts w:ascii="David" w:hAnsi="David" w:cs="David" w:hint="cs"/>
          <w:rtl/>
        </w:rPr>
        <w:t>הנכבד קמא</w:t>
      </w:r>
      <w:r>
        <w:rPr>
          <w:rFonts w:ascii="David" w:hAnsi="David" w:cs="David" w:hint="cs"/>
          <w:rtl/>
        </w:rPr>
        <w:t xml:space="preserve"> בקובעו כי בנוסף למנוח, יש</w:t>
      </w:r>
      <w:r w:rsidR="00C355D0">
        <w:rPr>
          <w:rFonts w:ascii="David" w:hAnsi="David" w:cs="David" w:hint="cs"/>
          <w:rtl/>
        </w:rPr>
        <w:t xml:space="preserve"> </w:t>
      </w:r>
      <w:r>
        <w:rPr>
          <w:rFonts w:ascii="David" w:hAnsi="David" w:cs="David" w:hint="cs"/>
          <w:rtl/>
        </w:rPr>
        <w:t>לה</w:t>
      </w:r>
      <w:r w:rsidR="00C355D0">
        <w:rPr>
          <w:rFonts w:ascii="David" w:hAnsi="David" w:cs="David" w:hint="cs"/>
          <w:rtl/>
        </w:rPr>
        <w:t>תייחס למערער 2 בתור "הנתבע", מלביש אותו בבגדי הנתבעת 1 ועוטה על צווארו סמכויות ניהול ולפתע נאלץ הוא להתמודד עם שאלות הנוגעות להעסקה של גורם שמעולם לא הועסק על ידו.</w:t>
      </w:r>
    </w:p>
    <w:p w14:paraId="27A6B922" w14:textId="77777777" w:rsidR="009949A6" w:rsidRPr="009949A6" w:rsidRDefault="009949A6" w:rsidP="00FC6F1F">
      <w:pPr>
        <w:pStyle w:val="a4"/>
        <w:spacing w:line="360" w:lineRule="auto"/>
        <w:ind w:left="-2"/>
        <w:jc w:val="both"/>
        <w:rPr>
          <w:rFonts w:ascii="David" w:hAnsi="David" w:cs="David"/>
          <w:rtl/>
        </w:rPr>
      </w:pPr>
    </w:p>
    <w:p w14:paraId="42190CF7" w14:textId="212A4C22" w:rsidR="009949A6" w:rsidRPr="009949A6" w:rsidRDefault="009949A6" w:rsidP="002177AD">
      <w:pPr>
        <w:pStyle w:val="a4"/>
        <w:numPr>
          <w:ilvl w:val="0"/>
          <w:numId w:val="6"/>
        </w:numPr>
        <w:spacing w:line="360" w:lineRule="auto"/>
        <w:ind w:left="-2"/>
        <w:jc w:val="both"/>
        <w:rPr>
          <w:rFonts w:ascii="David" w:hAnsi="David" w:cs="David"/>
          <w:rtl/>
        </w:rPr>
      </w:pPr>
      <w:r w:rsidRPr="009949A6">
        <w:rPr>
          <w:rFonts w:ascii="David" w:hAnsi="David" w:cs="David" w:hint="cs"/>
          <w:rtl/>
        </w:rPr>
        <w:t>המערער 2, בנו של המנוח, עבד בנתבעת 1 מספר שנים ובהמשך</w:t>
      </w:r>
      <w:r w:rsidR="00B21DD7">
        <w:rPr>
          <w:rFonts w:ascii="David" w:hAnsi="David" w:cs="David" w:hint="cs"/>
          <w:rtl/>
        </w:rPr>
        <w:t xml:space="preserve"> חלה במחלת הסרטן ועבד בחברת אביו בהיקף חלקי בלבד כפי שהתאפשר בשים לב למעקב, לטיפולים הכימותרפיים ולתופעות הלוואי הקשות ומשהחלים יצא לדרך עצמאית</w:t>
      </w:r>
      <w:r w:rsidRPr="009949A6">
        <w:rPr>
          <w:rFonts w:ascii="David" w:hAnsi="David" w:cs="David" w:hint="cs"/>
          <w:rtl/>
        </w:rPr>
        <w:t xml:space="preserve"> </w:t>
      </w:r>
      <w:r w:rsidR="00B21DD7">
        <w:rPr>
          <w:rFonts w:ascii="David" w:hAnsi="David" w:cs="David" w:hint="cs"/>
          <w:rtl/>
        </w:rPr>
        <w:t>ו</w:t>
      </w:r>
      <w:r w:rsidRPr="009949A6">
        <w:rPr>
          <w:rFonts w:ascii="David" w:hAnsi="David" w:cs="David" w:hint="cs"/>
          <w:rtl/>
        </w:rPr>
        <w:t>הקים חברה העוסקת בייבוא ושיווק מוצרי טקסטיל ולה קשרי עבודה עם הנתבעת 1.</w:t>
      </w:r>
    </w:p>
    <w:p w14:paraId="561341BC" w14:textId="77777777" w:rsidR="009949A6" w:rsidRPr="009949A6" w:rsidRDefault="009949A6" w:rsidP="00FC6F1F">
      <w:pPr>
        <w:pStyle w:val="a4"/>
        <w:spacing w:line="360" w:lineRule="auto"/>
        <w:ind w:left="-2"/>
        <w:jc w:val="both"/>
        <w:rPr>
          <w:rFonts w:ascii="David" w:hAnsi="David" w:cs="David"/>
          <w:rtl/>
        </w:rPr>
      </w:pPr>
    </w:p>
    <w:p w14:paraId="3BCDB99D" w14:textId="46E180BE" w:rsidR="009949A6" w:rsidRPr="009949A6" w:rsidRDefault="00B21DD7" w:rsidP="00FC6F1F">
      <w:pPr>
        <w:pStyle w:val="a4"/>
        <w:numPr>
          <w:ilvl w:val="0"/>
          <w:numId w:val="6"/>
        </w:numPr>
        <w:spacing w:line="360" w:lineRule="auto"/>
        <w:ind w:left="-2"/>
        <w:jc w:val="both"/>
        <w:rPr>
          <w:rFonts w:ascii="David" w:hAnsi="David" w:cs="David"/>
          <w:rtl/>
        </w:rPr>
      </w:pPr>
      <w:r>
        <w:rPr>
          <w:rFonts w:ascii="David" w:hAnsi="David" w:cs="David" w:hint="cs"/>
          <w:rtl/>
        </w:rPr>
        <w:t>טעה בית המשפט הנכבד קמא בכך שהוציא תחת ידו פסק דין ובו קביעות אליהן הגיע לאחר</w:t>
      </w:r>
      <w:r w:rsidR="009949A6" w:rsidRPr="009949A6">
        <w:rPr>
          <w:rFonts w:ascii="David" w:hAnsi="David" w:cs="David" w:hint="cs"/>
          <w:rtl/>
        </w:rPr>
        <w:t xml:space="preserve"> </w:t>
      </w:r>
      <w:r>
        <w:rPr>
          <w:rFonts w:ascii="David" w:hAnsi="David" w:cs="David" w:hint="cs"/>
          <w:rtl/>
        </w:rPr>
        <w:t>שהרים והסיר את</w:t>
      </w:r>
      <w:r w:rsidR="009949A6" w:rsidRPr="009949A6">
        <w:rPr>
          <w:rFonts w:ascii="David" w:hAnsi="David" w:cs="David" w:hint="cs"/>
          <w:rtl/>
        </w:rPr>
        <w:t xml:space="preserve"> כל מסכי ההתאגדות, ללא הנמקה וללא הסבר, פיצוי הניזוק</w:t>
      </w:r>
      <w:r>
        <w:rPr>
          <w:rFonts w:ascii="David" w:hAnsi="David" w:cs="David" w:hint="cs"/>
          <w:rtl/>
        </w:rPr>
        <w:t xml:space="preserve"> נקבע</w:t>
      </w:r>
      <w:r w:rsidR="009949A6" w:rsidRPr="009949A6">
        <w:rPr>
          <w:rFonts w:ascii="David" w:hAnsi="David" w:cs="David" w:hint="cs"/>
          <w:rtl/>
        </w:rPr>
        <w:t xml:space="preserve"> בהתאם לרצון הנפגע ושיקולי עומק הכיס גברו על הדין</w:t>
      </w:r>
      <w:r>
        <w:rPr>
          <w:rFonts w:ascii="David" w:hAnsi="David" w:cs="David" w:hint="cs"/>
          <w:rtl/>
        </w:rPr>
        <w:t xml:space="preserve">. </w:t>
      </w:r>
      <w:r w:rsidR="009949A6" w:rsidRPr="009949A6">
        <w:rPr>
          <w:rFonts w:ascii="David" w:hAnsi="David" w:cs="David" w:hint="cs"/>
          <w:rtl/>
        </w:rPr>
        <w:t xml:space="preserve"> </w:t>
      </w:r>
      <w:r w:rsidR="009949A6" w:rsidRPr="00B21DD7">
        <w:rPr>
          <w:rFonts w:ascii="David" w:hAnsi="David" w:cs="David" w:hint="cs"/>
          <w:u w:val="single"/>
          <w:rtl/>
        </w:rPr>
        <w:t xml:space="preserve">מבלי שהובאה ולו ראיה פוזיטיבית אחת </w:t>
      </w:r>
      <w:r>
        <w:rPr>
          <w:rFonts w:ascii="David" w:hAnsi="David" w:cs="David" w:hint="cs"/>
          <w:rtl/>
        </w:rPr>
        <w:t xml:space="preserve"> </w:t>
      </w:r>
      <w:r w:rsidR="009949A6" w:rsidRPr="009949A6">
        <w:rPr>
          <w:rFonts w:ascii="David" w:hAnsi="David" w:cs="David" w:hint="cs"/>
          <w:rtl/>
        </w:rPr>
        <w:t>הוחלט ליתן למשיב את מבוקשו, לקבוע כי המערערים, לרבות המערער 3 חבים בפיצוי המשיב, ללא שהוטל עליו אשם תורם בניגוד להלכה השלטת ולפסיקה, תוך חיוב המערערים כולם, ללא אבחנה מתבקשת ונדרשת בנסיבות, בתשלום הפיצויים בראשי הנזק השונים "על הצד הגבוה", לרבות, שכר נטען שאינו מדווח וזאת חרף ההלכה השלטת.</w:t>
      </w:r>
    </w:p>
    <w:p w14:paraId="5E56A096" w14:textId="77777777" w:rsidR="009949A6" w:rsidRPr="009949A6" w:rsidRDefault="009949A6" w:rsidP="00FC6F1F">
      <w:pPr>
        <w:pStyle w:val="a4"/>
        <w:spacing w:line="360" w:lineRule="auto"/>
        <w:ind w:left="-2"/>
        <w:jc w:val="both"/>
        <w:rPr>
          <w:rFonts w:ascii="David" w:hAnsi="David" w:cs="David"/>
          <w:rtl/>
        </w:rPr>
      </w:pPr>
    </w:p>
    <w:p w14:paraId="32709004" w14:textId="2BE49EEF" w:rsidR="00F0212B" w:rsidRPr="005E444C" w:rsidRDefault="00F0212B" w:rsidP="005E444C">
      <w:pPr>
        <w:pStyle w:val="a4"/>
        <w:numPr>
          <w:ilvl w:val="0"/>
          <w:numId w:val="6"/>
        </w:numPr>
        <w:spacing w:line="360" w:lineRule="auto"/>
        <w:ind w:left="-2"/>
        <w:jc w:val="both"/>
        <w:rPr>
          <w:rFonts w:ascii="David" w:hAnsi="David" w:cs="David"/>
        </w:rPr>
      </w:pPr>
      <w:r>
        <w:rPr>
          <w:rFonts w:ascii="David" w:hAnsi="David" w:cs="David" w:hint="cs"/>
          <w:rtl/>
        </w:rPr>
        <w:t xml:space="preserve">כאמור ברישא, </w:t>
      </w:r>
      <w:r w:rsidR="009949A6" w:rsidRPr="009949A6">
        <w:rPr>
          <w:rFonts w:ascii="David" w:hAnsi="David" w:cs="David" w:hint="cs"/>
          <w:rtl/>
        </w:rPr>
        <w:t>בד בבד עם הגשת הודעת הערעור מוגשת בקשת המערערים להוספת ראיה</w:t>
      </w:r>
      <w:r>
        <w:rPr>
          <w:rFonts w:ascii="David" w:hAnsi="David" w:cs="David" w:hint="cs"/>
          <w:rtl/>
        </w:rPr>
        <w:t xml:space="preserve"> ועניינה </w:t>
      </w:r>
      <w:r w:rsidR="005E444C">
        <w:rPr>
          <w:rFonts w:ascii="David" w:hAnsi="David" w:cs="David" w:hint="cs"/>
          <w:rtl/>
        </w:rPr>
        <w:t xml:space="preserve">בתאונה </w:t>
      </w:r>
      <w:r w:rsidRPr="005E444C">
        <w:rPr>
          <w:rFonts w:ascii="David" w:hAnsi="David" w:cs="David" w:hint="cs"/>
          <w:rtl/>
        </w:rPr>
        <w:t xml:space="preserve">בשנת 2014, במהלך עבודתו במערערת 1 על </w:t>
      </w:r>
      <w:r w:rsidR="005E444C">
        <w:rPr>
          <w:rFonts w:ascii="David" w:hAnsi="David" w:cs="David" w:hint="cs"/>
          <w:rtl/>
        </w:rPr>
        <w:t>מכונה זהה</w:t>
      </w:r>
      <w:r w:rsidRPr="005E444C">
        <w:rPr>
          <w:rFonts w:ascii="David" w:hAnsi="David" w:cs="David" w:hint="cs"/>
          <w:rtl/>
        </w:rPr>
        <w:t xml:space="preserve"> נפגע בידו (השמאלית </w:t>
      </w:r>
      <w:r w:rsidRPr="005E444C">
        <w:rPr>
          <w:rFonts w:ascii="David" w:hAnsi="David" w:cs="David"/>
          <w:rtl/>
        </w:rPr>
        <w:t>–</w:t>
      </w:r>
      <w:r w:rsidRPr="005E444C">
        <w:rPr>
          <w:rFonts w:ascii="David" w:hAnsi="David" w:cs="David" w:hint="cs"/>
          <w:rtl/>
        </w:rPr>
        <w:t xml:space="preserve"> השניה) והגיש תביעה, באמצעות ב"כ עוה"ד רוט, לבית משפט השלום בפתח תקווה, בת.א 2772-09-15 </w:t>
      </w:r>
      <w:r w:rsidRPr="005E444C">
        <w:rPr>
          <w:rFonts w:ascii="David" w:hAnsi="David" w:cs="David" w:hint="cs"/>
          <w:b/>
          <w:bCs/>
          <w:rtl/>
        </w:rPr>
        <w:t xml:space="preserve">עואד סעיד נ' שמיכות כרמיה קסטנבוים טכסטיל והראל חברה לביטוח בע"מ </w:t>
      </w:r>
      <w:r w:rsidRPr="005E444C">
        <w:rPr>
          <w:rFonts w:ascii="David" w:hAnsi="David" w:cs="David" w:hint="cs"/>
          <w:rtl/>
        </w:rPr>
        <w:t>(להלן:"</w:t>
      </w:r>
      <w:r w:rsidRPr="005E444C">
        <w:rPr>
          <w:rFonts w:ascii="David" w:hAnsi="David" w:cs="David" w:hint="cs"/>
          <w:b/>
          <w:bCs/>
          <w:rtl/>
        </w:rPr>
        <w:t>התביעה הקודמת/התביעה משנת 2014</w:t>
      </w:r>
      <w:r w:rsidRPr="005E444C">
        <w:rPr>
          <w:rFonts w:ascii="David" w:hAnsi="David" w:cs="David" w:hint="cs"/>
          <w:rtl/>
        </w:rPr>
        <w:t>")</w:t>
      </w:r>
    </w:p>
    <w:p w14:paraId="1FEBC01E" w14:textId="2351B67B" w:rsidR="009949A6" w:rsidRDefault="009949A6" w:rsidP="00FC6F1F">
      <w:pPr>
        <w:pStyle w:val="a4"/>
        <w:spacing w:line="360" w:lineRule="auto"/>
        <w:ind w:left="-2"/>
        <w:jc w:val="both"/>
        <w:rPr>
          <w:rFonts w:ascii="David" w:hAnsi="David" w:cs="David"/>
        </w:rPr>
      </w:pPr>
    </w:p>
    <w:p w14:paraId="5554E9A8" w14:textId="3B470995" w:rsidR="009949A6" w:rsidRDefault="009949A6" w:rsidP="00FC6F1F">
      <w:pPr>
        <w:pStyle w:val="a4"/>
        <w:numPr>
          <w:ilvl w:val="0"/>
          <w:numId w:val="6"/>
        </w:numPr>
        <w:spacing w:line="360" w:lineRule="auto"/>
        <w:ind w:left="-2"/>
        <w:jc w:val="both"/>
        <w:rPr>
          <w:rFonts w:ascii="David" w:hAnsi="David" w:cs="David"/>
        </w:rPr>
      </w:pPr>
      <w:r>
        <w:rPr>
          <w:rFonts w:ascii="David" w:hAnsi="David" w:cs="David" w:hint="cs"/>
          <w:rtl/>
        </w:rPr>
        <w:t xml:space="preserve">חמור מכך שהמשיב לא העיד אמת וכי יש בכך כשלעצמו טעם </w:t>
      </w:r>
      <w:r w:rsidR="00B716DF">
        <w:rPr>
          <w:rFonts w:ascii="David" w:hAnsi="David" w:cs="David" w:hint="cs"/>
          <w:rtl/>
        </w:rPr>
        <w:t xml:space="preserve">לביטול פסק דינו של בית המשפט הנכבד קמא, </w:t>
      </w:r>
      <w:r w:rsidR="002177AD">
        <w:rPr>
          <w:rFonts w:ascii="David" w:hAnsi="David" w:cs="David" w:hint="cs"/>
          <w:rtl/>
        </w:rPr>
        <w:t>כן עולה מכך</w:t>
      </w:r>
      <w:r w:rsidR="00B716DF">
        <w:rPr>
          <w:rFonts w:ascii="David" w:hAnsi="David" w:cs="David" w:hint="cs"/>
          <w:rtl/>
        </w:rPr>
        <w:t xml:space="preserve"> </w:t>
      </w:r>
      <w:r w:rsidR="002177AD">
        <w:rPr>
          <w:rFonts w:ascii="David" w:hAnsi="David" w:cs="David" w:hint="cs"/>
          <w:rtl/>
        </w:rPr>
        <w:t>כי</w:t>
      </w:r>
      <w:r w:rsidR="00B716DF">
        <w:rPr>
          <w:rFonts w:ascii="David" w:hAnsi="David" w:cs="David" w:hint="cs"/>
          <w:rtl/>
        </w:rPr>
        <w:t xml:space="preserve"> טענותיו בנוגע </w:t>
      </w:r>
      <w:r w:rsidR="002177AD">
        <w:rPr>
          <w:rFonts w:ascii="David" w:hAnsi="David" w:cs="David" w:hint="cs"/>
          <w:rtl/>
        </w:rPr>
        <w:t xml:space="preserve">למערער 2 </w:t>
      </w:r>
      <w:r w:rsidR="00B716DF">
        <w:rPr>
          <w:rFonts w:ascii="David" w:hAnsi="David" w:cs="David" w:hint="cs"/>
          <w:rtl/>
        </w:rPr>
        <w:t xml:space="preserve"> </w:t>
      </w:r>
      <w:r w:rsidR="002177AD">
        <w:rPr>
          <w:rFonts w:ascii="David" w:hAnsi="David" w:cs="David" w:hint="cs"/>
          <w:rtl/>
        </w:rPr>
        <w:t>נובעים</w:t>
      </w:r>
      <w:r w:rsidR="00B716DF">
        <w:rPr>
          <w:rFonts w:ascii="David" w:hAnsi="David" w:cs="David" w:hint="cs"/>
          <w:rtl/>
        </w:rPr>
        <w:t xml:space="preserve"> משיקולים זרים הנוגעים לעומק הכיס</w:t>
      </w:r>
      <w:r w:rsidR="002177AD">
        <w:rPr>
          <w:rFonts w:ascii="David" w:hAnsi="David" w:cs="David" w:hint="cs"/>
          <w:rtl/>
        </w:rPr>
        <w:t>/תגמולי המל"ל.</w:t>
      </w:r>
    </w:p>
    <w:p w14:paraId="0DE7572E" w14:textId="77777777" w:rsidR="00B716DF" w:rsidRPr="00B716DF" w:rsidRDefault="00B716DF" w:rsidP="00FC6F1F">
      <w:pPr>
        <w:pStyle w:val="a4"/>
        <w:ind w:left="-2"/>
        <w:rPr>
          <w:rFonts w:ascii="David" w:hAnsi="David" w:cs="David"/>
          <w:rtl/>
        </w:rPr>
      </w:pPr>
    </w:p>
    <w:p w14:paraId="4A2657C4" w14:textId="77777777" w:rsidR="00F0212B" w:rsidRDefault="00F0212B" w:rsidP="00FC6F1F">
      <w:pPr>
        <w:pStyle w:val="a4"/>
        <w:numPr>
          <w:ilvl w:val="0"/>
          <w:numId w:val="6"/>
        </w:numPr>
        <w:spacing w:line="360" w:lineRule="auto"/>
        <w:ind w:left="-2"/>
        <w:jc w:val="both"/>
        <w:rPr>
          <w:rFonts w:ascii="David" w:hAnsi="David" w:cs="David"/>
        </w:rPr>
      </w:pPr>
      <w:r>
        <w:rPr>
          <w:rFonts w:ascii="David" w:hAnsi="David" w:cs="David" w:hint="cs"/>
          <w:rtl/>
        </w:rPr>
        <w:t>בתביעתו הקודמת טען המשיב כי תפקידו היה לטעון את המכונה בסיבים ולאחר סיום טחינתם היה עליו לנקות אותה ידנית משאריות החומר ובמהלך פעולתו זו נחתך/נפגע מגלגל שיניים ונקבעה לו נכות בשיעור 10% ע"י ועדה רפואית מטעם המוסד לביטוח לאומי.</w:t>
      </w:r>
    </w:p>
    <w:p w14:paraId="3C01E6B3" w14:textId="77777777" w:rsidR="00F0212B" w:rsidRDefault="00F0212B" w:rsidP="00FC6F1F">
      <w:pPr>
        <w:pStyle w:val="a4"/>
        <w:spacing w:line="360" w:lineRule="auto"/>
        <w:ind w:left="-2"/>
        <w:jc w:val="both"/>
        <w:rPr>
          <w:rFonts w:ascii="David" w:hAnsi="David" w:cs="David"/>
        </w:rPr>
      </w:pPr>
    </w:p>
    <w:p w14:paraId="2FFC3B78" w14:textId="2F475D04" w:rsidR="00F0212B" w:rsidRDefault="00F0212B" w:rsidP="00FC6F1F">
      <w:pPr>
        <w:pStyle w:val="a4"/>
        <w:numPr>
          <w:ilvl w:val="0"/>
          <w:numId w:val="6"/>
        </w:numPr>
        <w:spacing w:line="360" w:lineRule="auto"/>
        <w:ind w:left="-2"/>
        <w:jc w:val="both"/>
        <w:rPr>
          <w:rFonts w:ascii="David" w:hAnsi="David" w:cs="David"/>
        </w:rPr>
      </w:pPr>
      <w:r>
        <w:rPr>
          <w:rFonts w:ascii="David" w:hAnsi="David" w:cs="David" w:hint="cs"/>
          <w:rtl/>
        </w:rPr>
        <w:t>הדמיון בין המקרים ובין הטענות מעורר תמיהה</w:t>
      </w:r>
      <w:r w:rsidR="005E444C">
        <w:rPr>
          <w:rFonts w:ascii="David" w:hAnsi="David" w:cs="David" w:hint="cs"/>
          <w:rtl/>
        </w:rPr>
        <w:t>.</w:t>
      </w:r>
      <w:r>
        <w:rPr>
          <w:rFonts w:ascii="David" w:hAnsi="David" w:cs="David" w:hint="cs"/>
          <w:rtl/>
        </w:rPr>
        <w:t xml:space="preserve"> </w:t>
      </w:r>
      <w:r w:rsidR="005E444C">
        <w:rPr>
          <w:rFonts w:ascii="David" w:hAnsi="David" w:cs="David" w:hint="cs"/>
          <w:rtl/>
        </w:rPr>
        <w:t>יודגש</w:t>
      </w:r>
      <w:r>
        <w:rPr>
          <w:rFonts w:ascii="David" w:hAnsi="David" w:cs="David" w:hint="cs"/>
          <w:rtl/>
        </w:rPr>
        <w:t>, המערערים לא חולקים על קרות הנזק/ים, אלא, שיש בראיה זו כדי להציג כי טענותיו של המשיב בהליך שהתנהל בבית המשפט קמא אינן אמת וכי שירבוב המערער 2 לגורם בעל תפקיד בחברה, מנהל, נובע אך ורק מן הטעם שבשנת 2014, בשונה ממועד ההליך מושא הערעור, בוטחה המערערת 1 בביטוח אחריות.</w:t>
      </w:r>
    </w:p>
    <w:p w14:paraId="5B7453A2" w14:textId="77777777" w:rsidR="00F0212B" w:rsidRPr="00F0212B" w:rsidRDefault="00F0212B" w:rsidP="00FC6F1F">
      <w:pPr>
        <w:pStyle w:val="a4"/>
        <w:ind w:left="-2"/>
        <w:rPr>
          <w:rFonts w:ascii="David" w:hAnsi="David" w:cs="David"/>
          <w:rtl/>
        </w:rPr>
      </w:pPr>
    </w:p>
    <w:p w14:paraId="3235F5F9" w14:textId="497B7D27" w:rsidR="009949A6" w:rsidRDefault="00A13F80" w:rsidP="00FC6F1F">
      <w:pPr>
        <w:pStyle w:val="a4"/>
        <w:numPr>
          <w:ilvl w:val="0"/>
          <w:numId w:val="6"/>
        </w:numPr>
        <w:spacing w:line="360" w:lineRule="auto"/>
        <w:ind w:left="-2" w:right="-142"/>
        <w:jc w:val="both"/>
        <w:rPr>
          <w:rFonts w:ascii="David" w:hAnsi="David" w:cs="David"/>
        </w:rPr>
      </w:pPr>
      <w:r>
        <w:rPr>
          <w:rFonts w:ascii="David" w:hAnsi="David" w:cs="David" w:hint="cs"/>
          <w:rtl/>
        </w:rPr>
        <w:t>המשיב לא הביא ולו ראיה אחת התומכת בטענותיו המי</w:t>
      </w:r>
      <w:r w:rsidR="00F0212B">
        <w:rPr>
          <w:rFonts w:ascii="David" w:hAnsi="David" w:cs="David" w:hint="cs"/>
          <w:rtl/>
        </w:rPr>
        <w:t>י</w:t>
      </w:r>
      <w:r>
        <w:rPr>
          <w:rFonts w:ascii="David" w:hAnsi="David" w:cs="David" w:hint="cs"/>
          <w:rtl/>
        </w:rPr>
        <w:t>חסות למערער 2 תפקיד כלשהו</w:t>
      </w:r>
      <w:r w:rsidR="00F0212B">
        <w:rPr>
          <w:rFonts w:ascii="David" w:hAnsi="David" w:cs="David" w:hint="cs"/>
          <w:rtl/>
        </w:rPr>
        <w:t xml:space="preserve">. הדבר תמוה עוד יותר ועומד לחובת המשיב שעה שהצהיר וביקש שהות להגשת ראיות וזימון עדים שהם יודעים אודותם שיודעים </w:t>
      </w:r>
      <w:r w:rsidR="00F0212B">
        <w:rPr>
          <w:rFonts w:ascii="David" w:hAnsi="David" w:cs="David" w:hint="cs"/>
          <w:rtl/>
        </w:rPr>
        <w:lastRenderedPageBreak/>
        <w:t xml:space="preserve">ויכולים להעיד לטענתם אודות נוכחותו ותפקידו של המערער 2 במפעלה של המערערת 1 (כפי שפורט בסעיפים  15 </w:t>
      </w:r>
      <w:r w:rsidR="00F0212B">
        <w:rPr>
          <w:rFonts w:ascii="David" w:hAnsi="David" w:cs="David"/>
          <w:rtl/>
        </w:rPr>
        <w:t>–</w:t>
      </w:r>
      <w:r w:rsidR="00F0212B">
        <w:rPr>
          <w:rFonts w:ascii="David" w:hAnsi="David" w:cs="David" w:hint="cs"/>
          <w:rtl/>
        </w:rPr>
        <w:t xml:space="preserve"> 17 לעיל)</w:t>
      </w:r>
    </w:p>
    <w:p w14:paraId="033C4957" w14:textId="77777777" w:rsidR="00A13F80" w:rsidRPr="00A13F80" w:rsidRDefault="00A13F80" w:rsidP="00FC6F1F">
      <w:pPr>
        <w:pStyle w:val="a4"/>
        <w:ind w:left="-2"/>
        <w:jc w:val="both"/>
        <w:rPr>
          <w:rFonts w:ascii="David" w:hAnsi="David" w:cs="David"/>
          <w:rtl/>
        </w:rPr>
      </w:pPr>
    </w:p>
    <w:p w14:paraId="2E0A77DE" w14:textId="4DB37EDA" w:rsidR="00377FFD" w:rsidRDefault="00A13F80" w:rsidP="00FC6F1F">
      <w:pPr>
        <w:pStyle w:val="a4"/>
        <w:numPr>
          <w:ilvl w:val="0"/>
          <w:numId w:val="6"/>
        </w:numPr>
        <w:spacing w:line="360" w:lineRule="auto"/>
        <w:ind w:left="-2"/>
        <w:jc w:val="both"/>
        <w:rPr>
          <w:rFonts w:ascii="David" w:hAnsi="David" w:cs="David"/>
        </w:rPr>
      </w:pPr>
      <w:r>
        <w:rPr>
          <w:rFonts w:ascii="David" w:hAnsi="David" w:cs="David" w:hint="cs"/>
          <w:rtl/>
        </w:rPr>
        <w:t>המשיב לא ידע להשיב כיצד יכול היה המערער 2 לשאת בתפקידו במועדים הרלוונטיים שעה שהיה בעיצומו של מאבק במחלת הסרטן ונזקק למעקב רפואי רציף וטיפולים כימותרפיים (</w:t>
      </w:r>
      <w:r w:rsidR="00377FFD">
        <w:rPr>
          <w:rFonts w:ascii="David" w:hAnsi="David" w:cs="David" w:hint="cs"/>
          <w:rtl/>
        </w:rPr>
        <w:t>עמ' 7 -8 לפרוטוקול</w:t>
      </w:r>
      <w:r w:rsidR="00F0212B">
        <w:rPr>
          <w:rFonts w:ascii="David" w:hAnsi="David" w:cs="David" w:hint="cs"/>
          <w:rtl/>
        </w:rPr>
        <w:t xml:space="preserve"> דיון ההוכחות</w:t>
      </w:r>
      <w:r w:rsidR="00377FFD">
        <w:rPr>
          <w:rFonts w:ascii="David" w:hAnsi="David" w:cs="David" w:hint="cs"/>
          <w:rtl/>
        </w:rPr>
        <w:t>).</w:t>
      </w:r>
    </w:p>
    <w:p w14:paraId="62A53F8F" w14:textId="77777777" w:rsidR="00377FFD" w:rsidRPr="00377FFD" w:rsidRDefault="00377FFD" w:rsidP="00FC6F1F">
      <w:pPr>
        <w:pStyle w:val="a4"/>
        <w:ind w:left="-2"/>
        <w:rPr>
          <w:rFonts w:ascii="David" w:hAnsi="David" w:cs="David"/>
          <w:rtl/>
        </w:rPr>
      </w:pPr>
    </w:p>
    <w:p w14:paraId="0AF2CBEC" w14:textId="48B88AAD" w:rsidR="00377FFD" w:rsidRDefault="00377FFD" w:rsidP="00FC6F1F">
      <w:pPr>
        <w:pStyle w:val="a4"/>
        <w:numPr>
          <w:ilvl w:val="0"/>
          <w:numId w:val="6"/>
        </w:numPr>
        <w:spacing w:line="360" w:lineRule="auto"/>
        <w:ind w:left="-2"/>
        <w:rPr>
          <w:rFonts w:ascii="David" w:hAnsi="David" w:cs="David"/>
        </w:rPr>
      </w:pPr>
      <w:r>
        <w:rPr>
          <w:rFonts w:ascii="David" w:hAnsi="David" w:cs="David" w:hint="cs"/>
          <w:rtl/>
        </w:rPr>
        <w:t>כשנשאל המשיב כיצד יכול להיות שהיה מגיע בתקופה שהיה חולה השיב כדלקמן:</w:t>
      </w:r>
    </w:p>
    <w:p w14:paraId="30FC84D2" w14:textId="232C5480" w:rsidR="00377FFD" w:rsidRDefault="00377FFD" w:rsidP="009B4F51">
      <w:pPr>
        <w:pStyle w:val="a4"/>
        <w:ind w:left="0"/>
        <w:rPr>
          <w:rFonts w:ascii="David" w:hAnsi="David" w:cs="David"/>
          <w:rtl/>
        </w:rPr>
      </w:pPr>
      <w:r>
        <w:rPr>
          <w:rFonts w:ascii="David" w:hAnsi="David" w:cs="David" w:hint="cs"/>
          <w:rtl/>
        </w:rPr>
        <w:t>העד, התובע: אדוני הוא היה בא כל הזמן. הוא היה (לא ברור) על טלפון הוא היה בא הוא היה חותם על הכל (לא ברור)</w:t>
      </w:r>
    </w:p>
    <w:p w14:paraId="0B3B7676" w14:textId="2A17CE50" w:rsidR="00A13F80" w:rsidRDefault="00377FFD" w:rsidP="009B4F51">
      <w:pPr>
        <w:pStyle w:val="a4"/>
        <w:ind w:left="0"/>
        <w:rPr>
          <w:rFonts w:ascii="David" w:hAnsi="David" w:cs="David"/>
          <w:rtl/>
        </w:rPr>
      </w:pPr>
      <w:r>
        <w:rPr>
          <w:rFonts w:ascii="David" w:hAnsi="David" w:cs="David" w:hint="cs"/>
          <w:rtl/>
        </w:rPr>
        <w:t>עו"ד לוי: גם בתקופה שהוא היה חולה סרטן מטופל?</w:t>
      </w:r>
    </w:p>
    <w:p w14:paraId="70649DC4" w14:textId="477A5662" w:rsidR="00377FFD" w:rsidRDefault="00377FFD" w:rsidP="009B4F51">
      <w:pPr>
        <w:pStyle w:val="a4"/>
        <w:ind w:left="0"/>
        <w:rPr>
          <w:rFonts w:ascii="David" w:hAnsi="David" w:cs="David"/>
          <w:rtl/>
        </w:rPr>
      </w:pPr>
      <w:r>
        <w:rPr>
          <w:rFonts w:ascii="David" w:hAnsi="David" w:cs="David" w:hint="cs"/>
          <w:rtl/>
        </w:rPr>
        <w:t>העד, התובע: כן, הוא היה בטלפון, הוא לא בא.</w:t>
      </w:r>
    </w:p>
    <w:p w14:paraId="1E234117" w14:textId="4984DD35" w:rsidR="009B4F51" w:rsidRDefault="00377FFD" w:rsidP="009B4F51">
      <w:pPr>
        <w:pStyle w:val="a4"/>
        <w:ind w:left="0"/>
        <w:rPr>
          <w:rFonts w:ascii="David" w:hAnsi="David" w:cs="David"/>
          <w:rtl/>
        </w:rPr>
      </w:pPr>
      <w:r>
        <w:rPr>
          <w:rFonts w:ascii="David" w:hAnsi="David" w:cs="David" w:hint="cs"/>
          <w:rtl/>
        </w:rPr>
        <w:t>(עמ' 8 שורות 27  - 30 לפרוטוקול)</w:t>
      </w:r>
    </w:p>
    <w:p w14:paraId="39A560A0" w14:textId="77777777" w:rsidR="009B4F51" w:rsidRDefault="009B4F51" w:rsidP="009B4F51">
      <w:pPr>
        <w:pStyle w:val="a4"/>
        <w:ind w:left="0"/>
        <w:rPr>
          <w:rFonts w:ascii="David" w:hAnsi="David" w:cs="David"/>
          <w:rtl/>
        </w:rPr>
      </w:pPr>
    </w:p>
    <w:p w14:paraId="2AFD27C8" w14:textId="4D411B39" w:rsidR="000F7381" w:rsidRDefault="000F7381" w:rsidP="00FC6F1F">
      <w:pPr>
        <w:pStyle w:val="a4"/>
        <w:numPr>
          <w:ilvl w:val="0"/>
          <w:numId w:val="6"/>
        </w:numPr>
        <w:spacing w:line="360" w:lineRule="auto"/>
        <w:ind w:left="-2"/>
        <w:jc w:val="both"/>
        <w:rPr>
          <w:rFonts w:ascii="David" w:hAnsi="David" w:cs="David"/>
        </w:rPr>
      </w:pPr>
      <w:r>
        <w:rPr>
          <w:rFonts w:ascii="David" w:hAnsi="David" w:cs="David" w:hint="cs"/>
          <w:rtl/>
        </w:rPr>
        <w:t xml:space="preserve">בהמשך שנשאל כמה היה מגיע למפעל האם פעם בשבוע או שבועיים משיב "לא זוכר כמה". (עמ' 8 ש' 36 </w:t>
      </w:r>
      <w:r>
        <w:rPr>
          <w:rFonts w:ascii="David" w:hAnsi="David" w:cs="David"/>
          <w:rtl/>
        </w:rPr>
        <w:t>–</w:t>
      </w:r>
      <w:r>
        <w:rPr>
          <w:rFonts w:ascii="David" w:hAnsi="David" w:cs="David" w:hint="cs"/>
          <w:rtl/>
        </w:rPr>
        <w:t xml:space="preserve"> 39, עמ' 9 שורות 1 </w:t>
      </w:r>
      <w:r>
        <w:rPr>
          <w:rFonts w:ascii="David" w:hAnsi="David" w:cs="David"/>
          <w:rtl/>
        </w:rPr>
        <w:t>–</w:t>
      </w:r>
      <w:r>
        <w:rPr>
          <w:rFonts w:ascii="David" w:hAnsi="David" w:cs="David" w:hint="cs"/>
          <w:rtl/>
        </w:rPr>
        <w:t xml:space="preserve"> 2 לפרוטוקול)</w:t>
      </w:r>
      <w:r w:rsidR="005921D8">
        <w:rPr>
          <w:rFonts w:ascii="David" w:hAnsi="David" w:cs="David" w:hint="cs"/>
          <w:rtl/>
        </w:rPr>
        <w:t>.</w:t>
      </w:r>
    </w:p>
    <w:p w14:paraId="7AB5AB95" w14:textId="77777777" w:rsidR="005921D8" w:rsidRDefault="005921D8" w:rsidP="00FC6F1F">
      <w:pPr>
        <w:pStyle w:val="a4"/>
        <w:spacing w:line="360" w:lineRule="auto"/>
        <w:ind w:left="-2"/>
        <w:jc w:val="both"/>
        <w:rPr>
          <w:rFonts w:ascii="David" w:hAnsi="David" w:cs="David"/>
        </w:rPr>
      </w:pPr>
    </w:p>
    <w:p w14:paraId="421B57B2" w14:textId="620F4BB0" w:rsidR="005921D8" w:rsidRDefault="009B4F51" w:rsidP="00FC6F1F">
      <w:pPr>
        <w:pStyle w:val="a4"/>
        <w:numPr>
          <w:ilvl w:val="0"/>
          <w:numId w:val="6"/>
        </w:numPr>
        <w:spacing w:line="360" w:lineRule="auto"/>
        <w:ind w:left="-2"/>
        <w:jc w:val="both"/>
        <w:rPr>
          <w:rFonts w:ascii="David" w:hAnsi="David" w:cs="David"/>
        </w:rPr>
      </w:pPr>
      <w:r>
        <w:rPr>
          <w:rFonts w:ascii="David" w:hAnsi="David" w:cs="David" w:hint="cs"/>
          <w:rtl/>
        </w:rPr>
        <w:t xml:space="preserve">המשיב מציין </w:t>
      </w:r>
      <w:r w:rsidR="00210A9C">
        <w:rPr>
          <w:rFonts w:ascii="David" w:hAnsi="David" w:cs="David" w:hint="cs"/>
          <w:rtl/>
        </w:rPr>
        <w:t>בתצהיר</w:t>
      </w:r>
      <w:r>
        <w:rPr>
          <w:rFonts w:ascii="David" w:hAnsi="David" w:cs="David" w:hint="cs"/>
          <w:rtl/>
        </w:rPr>
        <w:t xml:space="preserve">ו, כי </w:t>
      </w:r>
      <w:r w:rsidR="00210A9C">
        <w:rPr>
          <w:rFonts w:ascii="David" w:hAnsi="David" w:cs="David" w:hint="cs"/>
          <w:rtl/>
        </w:rPr>
        <w:t>החל משנת 2017-2018 החל לעבוד אצל המערער 2 (עמ' 6 ס' 37 לתצהיר עדות ראשית מטעמו של המשיב (התובע שם)).</w:t>
      </w:r>
    </w:p>
    <w:p w14:paraId="0F8484BC" w14:textId="77777777" w:rsidR="005921D8" w:rsidRPr="00210A9C" w:rsidRDefault="005921D8" w:rsidP="00FC6F1F">
      <w:pPr>
        <w:pStyle w:val="a4"/>
        <w:spacing w:line="360" w:lineRule="auto"/>
        <w:ind w:left="-2"/>
        <w:jc w:val="both"/>
        <w:rPr>
          <w:rFonts w:ascii="David" w:hAnsi="David" w:cs="David"/>
          <w:b/>
          <w:bCs/>
        </w:rPr>
      </w:pPr>
    </w:p>
    <w:p w14:paraId="4A04B3DE" w14:textId="04156A8C" w:rsidR="00210A9C" w:rsidRPr="006E0C4E" w:rsidRDefault="00210A9C" w:rsidP="00FC6F1F">
      <w:pPr>
        <w:pStyle w:val="a4"/>
        <w:numPr>
          <w:ilvl w:val="0"/>
          <w:numId w:val="6"/>
        </w:numPr>
        <w:spacing w:line="360" w:lineRule="auto"/>
        <w:ind w:left="-2"/>
        <w:jc w:val="both"/>
        <w:rPr>
          <w:rFonts w:ascii="David" w:hAnsi="David" w:cs="David"/>
        </w:rPr>
      </w:pPr>
      <w:r w:rsidRPr="006E0C4E">
        <w:rPr>
          <w:rFonts w:ascii="David" w:hAnsi="David" w:cs="David" w:hint="cs"/>
          <w:rtl/>
        </w:rPr>
        <w:t xml:space="preserve">נקודה זו אינה ברורה כלל ועיקר, כיצד יכול התובע להעיד שבמועדים הרלוונטיים 2017-2018 עבד אצל המערער 2 בו בזמן שעבד אצל המערערת 1, ששילמה את שכרו, הנפיקה לו תלושי שכר וחתומה על טופסי התביעה למוסד לביטוח לאומי. </w:t>
      </w:r>
      <w:r w:rsidR="006E0C4E" w:rsidRPr="006E0C4E">
        <w:rPr>
          <w:rFonts w:ascii="David" w:hAnsi="David" w:cs="David" w:hint="cs"/>
          <w:rtl/>
        </w:rPr>
        <w:t xml:space="preserve">כיצד יכול להיות שהמערער שנאבק במחלה שפקדה אותו, נזקק לאשפוז יום וטיפולים כימותרפיים עבד ועוד שימש בתפקיד ניהולי </w:t>
      </w:r>
      <w:r w:rsidR="006E0C4E" w:rsidRPr="006E0C4E">
        <w:rPr>
          <w:rFonts w:ascii="David" w:hAnsi="David" w:cs="David"/>
          <w:rtl/>
        </w:rPr>
        <w:t>–</w:t>
      </w:r>
      <w:r w:rsidR="006E0C4E" w:rsidRPr="006E0C4E">
        <w:rPr>
          <w:rFonts w:ascii="David" w:hAnsi="David" w:cs="David" w:hint="cs"/>
          <w:rtl/>
        </w:rPr>
        <w:t xml:space="preserve"> לשאלות הללו לא סופק כל מענה מצד המשיב </w:t>
      </w:r>
      <w:r w:rsidR="006E0C4E" w:rsidRPr="006E0C4E">
        <w:rPr>
          <w:rFonts w:ascii="David" w:hAnsi="David" w:cs="David"/>
          <w:rtl/>
        </w:rPr>
        <w:t>–</w:t>
      </w:r>
      <w:r w:rsidR="006E0C4E" w:rsidRPr="006E0C4E">
        <w:rPr>
          <w:rFonts w:ascii="David" w:hAnsi="David" w:cs="David" w:hint="cs"/>
          <w:rtl/>
        </w:rPr>
        <w:t xml:space="preserve"> שאלות ותמיהות שמשלא טרח המשיב ליישבם לא הרים את נטל הראיה ולא הוכיח את טענתו במאזן הסתברויות - המוציא מחברו עליו הראיה.</w:t>
      </w:r>
    </w:p>
    <w:p w14:paraId="09443420" w14:textId="77777777" w:rsidR="005921D8" w:rsidRPr="006E0C4E" w:rsidRDefault="005921D8" w:rsidP="00FC6F1F">
      <w:pPr>
        <w:spacing w:line="360" w:lineRule="auto"/>
        <w:ind w:left="-2"/>
        <w:jc w:val="both"/>
        <w:rPr>
          <w:rFonts w:ascii="David" w:hAnsi="David" w:cs="David"/>
        </w:rPr>
      </w:pPr>
    </w:p>
    <w:p w14:paraId="41E43E57" w14:textId="77777777" w:rsidR="006E0C4E" w:rsidRDefault="00210A9C" w:rsidP="00FC6F1F">
      <w:pPr>
        <w:pStyle w:val="a4"/>
        <w:numPr>
          <w:ilvl w:val="0"/>
          <w:numId w:val="6"/>
        </w:numPr>
        <w:spacing w:line="360" w:lineRule="auto"/>
        <w:ind w:left="-2"/>
        <w:jc w:val="both"/>
        <w:rPr>
          <w:rFonts w:ascii="David" w:hAnsi="David" w:cs="David"/>
        </w:rPr>
      </w:pPr>
      <w:r w:rsidRPr="006E0C4E">
        <w:rPr>
          <w:rFonts w:ascii="David" w:hAnsi="David" w:cs="David" w:hint="cs"/>
          <w:rtl/>
        </w:rPr>
        <w:t xml:space="preserve">המאמץ מצידו </w:t>
      </w:r>
      <w:r w:rsidR="006E0C4E" w:rsidRPr="006E0C4E">
        <w:rPr>
          <w:rFonts w:ascii="David" w:hAnsi="David" w:cs="David" w:hint="cs"/>
          <w:rtl/>
        </w:rPr>
        <w:t>של המשיב "לשרבב"</w:t>
      </w:r>
      <w:r w:rsidRPr="006E0C4E">
        <w:rPr>
          <w:rFonts w:ascii="David" w:hAnsi="David" w:cs="David" w:hint="cs"/>
          <w:rtl/>
        </w:rPr>
        <w:t xml:space="preserve"> את שמו של המערער 2 נתקל בקשיים במהלך דיון ההוכחות ועל אף שבית המשפט מנסה לסייע בידו ולהבהיר את עדותו לפיה עבד אצל המערערת 1 </w:t>
      </w:r>
      <w:r w:rsidR="006E0C4E">
        <w:rPr>
          <w:rFonts w:ascii="David" w:hAnsi="David" w:cs="David" w:hint="cs"/>
          <w:rtl/>
        </w:rPr>
        <w:t>ו</w:t>
      </w:r>
      <w:r w:rsidRPr="006E0C4E">
        <w:rPr>
          <w:rFonts w:ascii="David" w:hAnsi="David" w:cs="David" w:hint="cs"/>
          <w:rtl/>
        </w:rPr>
        <w:t>המערער 2 היה בעל תפקיד בה מתעקש המשיב להגיד שלא עבד בחברה של כרמיה אלא של המערער 2 (בנימין)</w:t>
      </w:r>
      <w:r w:rsidR="0045696B" w:rsidRPr="006E0C4E">
        <w:rPr>
          <w:rFonts w:ascii="David" w:hAnsi="David" w:cs="David" w:hint="cs"/>
          <w:rtl/>
        </w:rPr>
        <w:t xml:space="preserve"> (עמ' 17 -18 לפרוטוקול</w:t>
      </w:r>
      <w:r w:rsidR="006E0C4E">
        <w:rPr>
          <w:rFonts w:ascii="David" w:hAnsi="David" w:cs="David" w:hint="cs"/>
          <w:rtl/>
        </w:rPr>
        <w:t xml:space="preserve"> דיון ההוכחות</w:t>
      </w:r>
      <w:r w:rsidR="0045696B" w:rsidRPr="006E0C4E">
        <w:rPr>
          <w:rFonts w:ascii="David" w:hAnsi="David" w:cs="David" w:hint="cs"/>
          <w:rtl/>
        </w:rPr>
        <w:t>)</w:t>
      </w:r>
      <w:r w:rsidRPr="006E0C4E">
        <w:rPr>
          <w:rFonts w:ascii="David" w:hAnsi="David" w:cs="David" w:hint="cs"/>
          <w:rtl/>
        </w:rPr>
        <w:t>.</w:t>
      </w:r>
    </w:p>
    <w:p w14:paraId="6C385570" w14:textId="77777777" w:rsidR="006E0C4E" w:rsidRPr="006E0C4E" w:rsidRDefault="006E0C4E" w:rsidP="00FC6F1F">
      <w:pPr>
        <w:pStyle w:val="a4"/>
        <w:ind w:left="-2"/>
        <w:rPr>
          <w:rFonts w:ascii="David" w:hAnsi="David" w:cs="David"/>
          <w:rtl/>
        </w:rPr>
      </w:pPr>
    </w:p>
    <w:p w14:paraId="1C252B79" w14:textId="613F1CF2" w:rsidR="00210A9C" w:rsidRDefault="006E0C4E" w:rsidP="00FC6F1F">
      <w:pPr>
        <w:pStyle w:val="a4"/>
        <w:numPr>
          <w:ilvl w:val="0"/>
          <w:numId w:val="6"/>
        </w:numPr>
        <w:spacing w:line="360" w:lineRule="auto"/>
        <w:ind w:left="-2"/>
        <w:jc w:val="both"/>
        <w:rPr>
          <w:rFonts w:ascii="David" w:hAnsi="David" w:cs="David"/>
        </w:rPr>
      </w:pPr>
      <w:r>
        <w:rPr>
          <w:rFonts w:ascii="David" w:hAnsi="David" w:cs="David" w:hint="cs"/>
          <w:rtl/>
        </w:rPr>
        <w:t>המשיב</w:t>
      </w:r>
      <w:r w:rsidR="00210A9C" w:rsidRPr="006E0C4E">
        <w:rPr>
          <w:rFonts w:ascii="David" w:hAnsi="David" w:cs="David" w:hint="cs"/>
          <w:rtl/>
        </w:rPr>
        <w:t xml:space="preserve"> נשאל מדוע אם כך תבע את המנוח  </w:t>
      </w:r>
      <w:r w:rsidR="0045696B" w:rsidRPr="006E0C4E">
        <w:rPr>
          <w:rFonts w:ascii="David" w:hAnsi="David" w:cs="David" w:hint="cs"/>
          <w:rtl/>
        </w:rPr>
        <w:t>משיב בצורה לא ברורה</w:t>
      </w:r>
      <w:r w:rsidR="0045696B">
        <w:rPr>
          <w:rFonts w:ascii="David" w:hAnsi="David" w:cs="David" w:hint="cs"/>
          <w:rtl/>
        </w:rPr>
        <w:t xml:space="preserve"> : </w:t>
      </w:r>
    </w:p>
    <w:p w14:paraId="3EB2F790" w14:textId="1D0E6EAE" w:rsidR="0045696B" w:rsidRDefault="0045696B" w:rsidP="00FC6F1F">
      <w:pPr>
        <w:pStyle w:val="a4"/>
        <w:spacing w:line="360" w:lineRule="auto"/>
        <w:ind w:left="-2"/>
        <w:jc w:val="both"/>
        <w:rPr>
          <w:rFonts w:ascii="David" w:hAnsi="David" w:cs="David"/>
          <w:rtl/>
        </w:rPr>
      </w:pPr>
      <w:r>
        <w:rPr>
          <w:rFonts w:ascii="David" w:hAnsi="David" w:cs="David" w:hint="cs"/>
          <w:rtl/>
        </w:rPr>
        <w:t>עו"ד לוי: למה תבעת את יעקב קסטנבוים?</w:t>
      </w:r>
    </w:p>
    <w:p w14:paraId="451CC73C" w14:textId="210C9D0A" w:rsidR="0045696B" w:rsidRDefault="0045696B" w:rsidP="00FC6F1F">
      <w:pPr>
        <w:pStyle w:val="a4"/>
        <w:spacing w:line="360" w:lineRule="auto"/>
        <w:ind w:left="-2"/>
        <w:jc w:val="both"/>
        <w:rPr>
          <w:rFonts w:ascii="David" w:hAnsi="David" w:cs="David"/>
          <w:rtl/>
        </w:rPr>
      </w:pPr>
      <w:r>
        <w:rPr>
          <w:rFonts w:ascii="David" w:hAnsi="David" w:cs="David" w:hint="cs"/>
          <w:rtl/>
        </w:rPr>
        <w:t>העד, התובע: בנימין הוא אמר לי, אמר לי עשיתי חברה עם בנימין, יעקב (לא ברור).</w:t>
      </w:r>
    </w:p>
    <w:p w14:paraId="7595368D" w14:textId="059A252D" w:rsidR="0045696B" w:rsidRDefault="0045696B" w:rsidP="00FC6F1F">
      <w:pPr>
        <w:pStyle w:val="a4"/>
        <w:spacing w:line="360" w:lineRule="auto"/>
        <w:ind w:left="-2"/>
        <w:jc w:val="both"/>
        <w:rPr>
          <w:rFonts w:ascii="David" w:hAnsi="David" w:cs="David"/>
          <w:rtl/>
        </w:rPr>
      </w:pPr>
      <w:r>
        <w:rPr>
          <w:rFonts w:ascii="David" w:hAnsi="David" w:cs="David" w:hint="cs"/>
          <w:rtl/>
        </w:rPr>
        <w:t xml:space="preserve">(עמ' 18 שורות 22 </w:t>
      </w:r>
      <w:r>
        <w:rPr>
          <w:rFonts w:ascii="David" w:hAnsi="David" w:cs="David"/>
          <w:rtl/>
        </w:rPr>
        <w:t>–</w:t>
      </w:r>
      <w:r>
        <w:rPr>
          <w:rFonts w:ascii="David" w:hAnsi="David" w:cs="David" w:hint="cs"/>
          <w:rtl/>
        </w:rPr>
        <w:t xml:space="preserve"> 23 לפרוטוקול</w:t>
      </w:r>
      <w:r w:rsidR="006E0C4E">
        <w:rPr>
          <w:rFonts w:ascii="David" w:hAnsi="David" w:cs="David" w:hint="cs"/>
          <w:rtl/>
        </w:rPr>
        <w:t xml:space="preserve"> דיון ההוכחות</w:t>
      </w:r>
      <w:r>
        <w:rPr>
          <w:rFonts w:ascii="David" w:hAnsi="David" w:cs="David" w:hint="cs"/>
          <w:rtl/>
        </w:rPr>
        <w:t>).</w:t>
      </w:r>
    </w:p>
    <w:p w14:paraId="54FE9423" w14:textId="3766AB77" w:rsidR="0045696B" w:rsidRDefault="0045696B" w:rsidP="00FC6F1F">
      <w:pPr>
        <w:pStyle w:val="a4"/>
        <w:numPr>
          <w:ilvl w:val="0"/>
          <w:numId w:val="6"/>
        </w:numPr>
        <w:spacing w:line="360" w:lineRule="auto"/>
        <w:ind w:left="-2"/>
        <w:jc w:val="both"/>
        <w:rPr>
          <w:rFonts w:ascii="David" w:hAnsi="David" w:cs="David"/>
        </w:rPr>
      </w:pPr>
      <w:r>
        <w:rPr>
          <w:rFonts w:ascii="David" w:hAnsi="David" w:cs="David" w:hint="cs"/>
          <w:rtl/>
        </w:rPr>
        <w:t>המשיב מתחמק מלהשיב מי החברה המצויינת באישור העבודה שניתן לו</w:t>
      </w:r>
      <w:r w:rsidR="00091F00">
        <w:rPr>
          <w:rFonts w:ascii="David" w:hAnsi="David" w:cs="David" w:hint="cs"/>
          <w:rtl/>
        </w:rPr>
        <w:t xml:space="preserve">. בשלב זה מתערב בית המשפט קמא ואומר שהמנהל אחראי אישית </w:t>
      </w:r>
      <w:r w:rsidR="006E0C4E">
        <w:rPr>
          <w:rFonts w:ascii="David" w:hAnsi="David" w:cs="David" w:hint="cs"/>
          <w:rtl/>
        </w:rPr>
        <w:t xml:space="preserve"> (עמ' 18, ש' </w:t>
      </w:r>
      <w:r w:rsidR="00091F00">
        <w:rPr>
          <w:rFonts w:ascii="David" w:hAnsi="David" w:cs="David" w:hint="cs"/>
          <w:rtl/>
        </w:rPr>
        <w:t xml:space="preserve">30 </w:t>
      </w:r>
      <w:r w:rsidR="00091F00">
        <w:rPr>
          <w:rFonts w:ascii="David" w:hAnsi="David" w:cs="David"/>
          <w:rtl/>
        </w:rPr>
        <w:t>–</w:t>
      </w:r>
      <w:r w:rsidR="00091F00">
        <w:rPr>
          <w:rFonts w:ascii="David" w:hAnsi="David" w:cs="David" w:hint="cs"/>
          <w:rtl/>
        </w:rPr>
        <w:t xml:space="preserve"> 33). </w:t>
      </w:r>
    </w:p>
    <w:p w14:paraId="203B42C5" w14:textId="77777777" w:rsidR="006E0C4E" w:rsidRDefault="006E0C4E" w:rsidP="00FC6F1F">
      <w:pPr>
        <w:pStyle w:val="a4"/>
        <w:spacing w:line="360" w:lineRule="auto"/>
        <w:ind w:left="-2"/>
        <w:jc w:val="both"/>
        <w:rPr>
          <w:rFonts w:ascii="David" w:hAnsi="David" w:cs="David"/>
        </w:rPr>
      </w:pPr>
    </w:p>
    <w:p w14:paraId="6A330296" w14:textId="1C62012B" w:rsidR="0045696B" w:rsidRDefault="0045696B" w:rsidP="00FC6F1F">
      <w:pPr>
        <w:pStyle w:val="a4"/>
        <w:numPr>
          <w:ilvl w:val="0"/>
          <w:numId w:val="6"/>
        </w:numPr>
        <w:spacing w:line="360" w:lineRule="auto"/>
        <w:ind w:left="-2"/>
        <w:jc w:val="both"/>
        <w:rPr>
          <w:rFonts w:ascii="David" w:hAnsi="David" w:cs="David"/>
        </w:rPr>
      </w:pPr>
      <w:r>
        <w:rPr>
          <w:rFonts w:ascii="David" w:hAnsi="David" w:cs="David" w:hint="cs"/>
          <w:rtl/>
        </w:rPr>
        <w:t xml:space="preserve">על אף חוסר הבהירות וחוסר המהימנות והיעדר גירסא סדורה, אלא, תשובות מוכתבות שלמעשה מסתכמות במילה "בנימין", בית המשפט מעיר הערה שבהמשך </w:t>
      </w:r>
      <w:r w:rsidR="005E444C">
        <w:rPr>
          <w:rFonts w:ascii="David" w:hAnsi="David" w:cs="David" w:hint="cs"/>
          <w:rtl/>
        </w:rPr>
        <w:t>תעמוד</w:t>
      </w:r>
      <w:r>
        <w:rPr>
          <w:rFonts w:ascii="David" w:hAnsi="David" w:cs="David" w:hint="cs"/>
          <w:rtl/>
        </w:rPr>
        <w:t xml:space="preserve"> בבסיס פסק הדין ושלא בצדק בנסיבות המקרה דנן.</w:t>
      </w:r>
    </w:p>
    <w:p w14:paraId="0DDB9E8C" w14:textId="5FBEA82A" w:rsidR="0045696B" w:rsidRDefault="0045696B" w:rsidP="00FC6F1F">
      <w:pPr>
        <w:pStyle w:val="a4"/>
        <w:spacing w:line="360" w:lineRule="auto"/>
        <w:ind w:left="-2"/>
        <w:jc w:val="both"/>
        <w:rPr>
          <w:rFonts w:ascii="David" w:hAnsi="David" w:cs="David"/>
          <w:rtl/>
        </w:rPr>
      </w:pPr>
      <w:r>
        <w:rPr>
          <w:rFonts w:ascii="David" w:hAnsi="David" w:cs="David" w:hint="cs"/>
          <w:rtl/>
        </w:rPr>
        <w:lastRenderedPageBreak/>
        <w:t xml:space="preserve">"כב' הש' בן-ארי: רק שנייה. תעשו מה שאתם רוצים, זה לא מעניין את בית המשפט ההסדר הפרטי שהיה (לא ברור) משום שבנזיקין אין אישיות משפטית נפרדת, המנהל אחראי אישית" </w:t>
      </w:r>
    </w:p>
    <w:p w14:paraId="0F87A665" w14:textId="51874480" w:rsidR="0045696B" w:rsidRDefault="0045696B" w:rsidP="00FC6F1F">
      <w:pPr>
        <w:pStyle w:val="a4"/>
        <w:spacing w:line="360" w:lineRule="auto"/>
        <w:ind w:left="-2"/>
        <w:jc w:val="both"/>
        <w:rPr>
          <w:rFonts w:ascii="David" w:hAnsi="David" w:cs="David"/>
          <w:rtl/>
        </w:rPr>
      </w:pPr>
      <w:r>
        <w:rPr>
          <w:rFonts w:ascii="David" w:hAnsi="David" w:cs="David" w:hint="cs"/>
          <w:rtl/>
        </w:rPr>
        <w:t>(עמ' 18 ש' 35- 37 לפרוטוקול)</w:t>
      </w:r>
    </w:p>
    <w:p w14:paraId="2BA3444F" w14:textId="77777777" w:rsidR="001104DE" w:rsidRDefault="001104DE" w:rsidP="00FC6F1F">
      <w:pPr>
        <w:pStyle w:val="a4"/>
        <w:spacing w:line="360" w:lineRule="auto"/>
        <w:ind w:left="-2"/>
        <w:jc w:val="both"/>
        <w:rPr>
          <w:rFonts w:ascii="David" w:hAnsi="David" w:cs="David"/>
        </w:rPr>
      </w:pPr>
    </w:p>
    <w:p w14:paraId="743DC908" w14:textId="24927FD5" w:rsidR="00641609" w:rsidRDefault="00641609" w:rsidP="00FC6F1F">
      <w:pPr>
        <w:pStyle w:val="a4"/>
        <w:numPr>
          <w:ilvl w:val="0"/>
          <w:numId w:val="6"/>
        </w:numPr>
        <w:spacing w:line="360" w:lineRule="auto"/>
        <w:ind w:left="-2"/>
        <w:jc w:val="both"/>
        <w:rPr>
          <w:rFonts w:ascii="David" w:hAnsi="David" w:cs="David"/>
        </w:rPr>
      </w:pPr>
      <w:r>
        <w:rPr>
          <w:rFonts w:ascii="David" w:hAnsi="David" w:cs="David" w:hint="cs"/>
          <w:rtl/>
        </w:rPr>
        <w:t xml:space="preserve">חיזוק לטענות המערערים ניתן למצוא גם בצוואתו של המנוח, המוריש את כל רכוש לרעייתו, המערערת 3 </w:t>
      </w:r>
      <w:r>
        <w:rPr>
          <w:rFonts w:ascii="David" w:hAnsi="David" w:cs="David"/>
          <w:rtl/>
        </w:rPr>
        <w:t>–</w:t>
      </w:r>
      <w:r>
        <w:rPr>
          <w:rFonts w:ascii="David" w:hAnsi="David" w:cs="David" w:hint="cs"/>
          <w:rtl/>
        </w:rPr>
        <w:t xml:space="preserve"> אילו היה המערער 2 עובד/מנהל בחברה בניהולו ובבעלותו של המנוח </w:t>
      </w:r>
      <w:r w:rsidR="001104DE">
        <w:rPr>
          <w:rFonts w:ascii="David" w:hAnsi="David" w:cs="David" w:hint="cs"/>
          <w:rtl/>
        </w:rPr>
        <w:t>ודאי שדבר זה היה מקבל ביטוי בצוואתו. העובדה שהדבר לא מוזכר בצוואתו מתיישבת עם טענות המערערים.</w:t>
      </w:r>
    </w:p>
    <w:p w14:paraId="106BAC0C" w14:textId="77777777" w:rsidR="001104DE" w:rsidRPr="001104DE" w:rsidRDefault="001104DE" w:rsidP="00FC6F1F">
      <w:pPr>
        <w:pStyle w:val="a4"/>
        <w:ind w:left="-2"/>
        <w:rPr>
          <w:rFonts w:ascii="David" w:hAnsi="David" w:cs="David"/>
          <w:rtl/>
        </w:rPr>
      </w:pPr>
    </w:p>
    <w:p w14:paraId="6B2E39EA" w14:textId="77777777" w:rsidR="00091F00" w:rsidRDefault="00091F00" w:rsidP="00FC6F1F">
      <w:pPr>
        <w:pStyle w:val="a4"/>
        <w:spacing w:line="360" w:lineRule="auto"/>
        <w:ind w:left="-2"/>
        <w:jc w:val="both"/>
        <w:rPr>
          <w:rFonts w:ascii="David" w:hAnsi="David" w:cs="David"/>
        </w:rPr>
      </w:pPr>
    </w:p>
    <w:p w14:paraId="6F85CE13" w14:textId="5822E8EC" w:rsidR="0055479D" w:rsidRDefault="00091F00" w:rsidP="0055479D">
      <w:pPr>
        <w:pStyle w:val="a4"/>
        <w:numPr>
          <w:ilvl w:val="0"/>
          <w:numId w:val="6"/>
        </w:numPr>
        <w:spacing w:line="360" w:lineRule="auto"/>
        <w:ind w:left="-2"/>
        <w:jc w:val="both"/>
        <w:rPr>
          <w:rFonts w:ascii="David" w:hAnsi="David" w:cs="David"/>
        </w:rPr>
      </w:pPr>
      <w:r>
        <w:rPr>
          <w:rFonts w:ascii="David" w:hAnsi="David" w:cs="David" w:hint="cs"/>
          <w:rtl/>
        </w:rPr>
        <w:t>טעה בית המשפט הנכבד קמא שהגיע לתוצאה לפיה המערער 2 עובד ו/או בעל תפקיד ניהולי האחראי על וכלפי המשיב</w:t>
      </w:r>
      <w:r w:rsidR="00F045F9">
        <w:rPr>
          <w:rFonts w:ascii="David" w:hAnsi="David" w:cs="David" w:hint="cs"/>
          <w:rtl/>
        </w:rPr>
        <w:t xml:space="preserve"> כל אחד מהקריטריונים שנקבעו בדין אינם מתקיימים</w:t>
      </w:r>
      <w:r>
        <w:rPr>
          <w:rFonts w:ascii="David" w:hAnsi="David" w:cs="David" w:hint="cs"/>
          <w:rtl/>
        </w:rPr>
        <w:t>. בנידון לא מתקיימים יחסי עבודה בהתאם למבחנים המנויים בפסיקה ראו סע"ש</w:t>
      </w:r>
      <w:r w:rsidR="00F045F9">
        <w:rPr>
          <w:rFonts w:ascii="David" w:hAnsi="David" w:cs="David" w:hint="cs"/>
          <w:rtl/>
        </w:rPr>
        <w:t xml:space="preserve"> 16469-11-15 </w:t>
      </w:r>
      <w:r w:rsidR="00F045F9">
        <w:rPr>
          <w:rFonts w:ascii="David" w:hAnsi="David" w:cs="David" w:hint="cs"/>
          <w:b/>
          <w:bCs/>
          <w:rtl/>
        </w:rPr>
        <w:t>הר חרמון נ' מדינת ישראל ומשרד התיירות</w:t>
      </w:r>
      <w:r w:rsidR="00F045F9">
        <w:rPr>
          <w:rFonts w:ascii="David" w:hAnsi="David" w:cs="David" w:hint="cs"/>
          <w:rtl/>
        </w:rPr>
        <w:t xml:space="preserve"> (פורסם בנבו).</w:t>
      </w:r>
      <w:r w:rsidR="0055479D" w:rsidRPr="0055479D">
        <w:rPr>
          <w:rFonts w:ascii="David" w:hAnsi="David" w:cs="David" w:hint="cs"/>
          <w:rtl/>
        </w:rPr>
        <w:t xml:space="preserve"> </w:t>
      </w:r>
      <w:r w:rsidR="0055479D" w:rsidRPr="00091F00">
        <w:rPr>
          <w:rFonts w:ascii="David" w:hAnsi="David" w:cs="David" w:hint="cs"/>
          <w:rtl/>
        </w:rPr>
        <w:t>המנהל הוא המנוח גם לשיטת בית המשפט הנכבד קמא בפסק דינו</w:t>
      </w:r>
      <w:r w:rsidR="0055479D">
        <w:rPr>
          <w:rFonts w:ascii="David" w:hAnsi="David" w:cs="David" w:hint="cs"/>
          <w:rtl/>
        </w:rPr>
        <w:t xml:space="preserve"> והוא בלבד.</w:t>
      </w:r>
    </w:p>
    <w:p w14:paraId="08604940" w14:textId="77777777" w:rsidR="00F045F9" w:rsidRPr="00F045F9" w:rsidRDefault="00F045F9" w:rsidP="00FC6F1F">
      <w:pPr>
        <w:pStyle w:val="a4"/>
        <w:ind w:left="-2"/>
        <w:rPr>
          <w:rFonts w:ascii="David" w:hAnsi="David" w:cs="David"/>
          <w:rtl/>
        </w:rPr>
      </w:pPr>
    </w:p>
    <w:p w14:paraId="1E9655A4" w14:textId="3D8963CB" w:rsidR="00F045F9" w:rsidRDefault="00F045F9" w:rsidP="00FC6F1F">
      <w:pPr>
        <w:pStyle w:val="a4"/>
        <w:numPr>
          <w:ilvl w:val="0"/>
          <w:numId w:val="6"/>
        </w:numPr>
        <w:spacing w:line="360" w:lineRule="auto"/>
        <w:ind w:left="-2"/>
        <w:jc w:val="both"/>
        <w:rPr>
          <w:rFonts w:ascii="David" w:hAnsi="David" w:cs="David"/>
        </w:rPr>
      </w:pPr>
      <w:r>
        <w:rPr>
          <w:rFonts w:ascii="David" w:hAnsi="David" w:cs="David" w:hint="cs"/>
          <w:rtl/>
        </w:rPr>
        <w:t xml:space="preserve">ס' 2 לפקודת הנזיקין [נוסח חדש] קובע מיהו מעביד: </w:t>
      </w:r>
      <w:r w:rsidRPr="00F045F9">
        <w:rPr>
          <w:rFonts w:ascii="David" w:hAnsi="David" w:cs="David"/>
        </w:rPr>
        <w:t>"</w:t>
      </w:r>
      <w:r w:rsidRPr="00F045F9">
        <w:rPr>
          <w:rFonts w:ascii="David" w:hAnsi="David" w:cs="David"/>
          <w:rtl/>
        </w:rPr>
        <w:t>מעביד</w:t>
      </w:r>
      <w:r w:rsidRPr="00F045F9">
        <w:rPr>
          <w:rFonts w:ascii="David" w:hAnsi="David" w:cs="David"/>
        </w:rPr>
        <w:t xml:space="preserve">" – </w:t>
      </w:r>
      <w:r w:rsidRPr="00F045F9">
        <w:rPr>
          <w:rFonts w:ascii="David" w:hAnsi="David" w:cs="David"/>
          <w:rtl/>
        </w:rPr>
        <w:t>מי שיש לו ביחסיו עם אדם אחר שליטה גמורה על הדרך שבו אדם אחר מבצע עבודה בשבילו, ואילו הוא עצמו אין עליו מרות דומה לגבי אותה עבודה, ו</w:t>
      </w:r>
      <w:r w:rsidRPr="00F045F9">
        <w:rPr>
          <w:rFonts w:ascii="David" w:hAnsi="David" w:cs="David"/>
        </w:rPr>
        <w:t>"</w:t>
      </w:r>
      <w:r w:rsidRPr="00F045F9">
        <w:rPr>
          <w:rFonts w:ascii="David" w:hAnsi="David" w:cs="David"/>
          <w:rtl/>
        </w:rPr>
        <w:t>עובד</w:t>
      </w:r>
      <w:r w:rsidRPr="00F045F9">
        <w:rPr>
          <w:rFonts w:ascii="David" w:hAnsi="David" w:cs="David"/>
        </w:rPr>
        <w:t xml:space="preserve">" </w:t>
      </w:r>
      <w:r w:rsidRPr="00F045F9">
        <w:rPr>
          <w:rFonts w:ascii="David" w:hAnsi="David" w:cs="David"/>
          <w:rtl/>
        </w:rPr>
        <w:t>הוא מי שעבודתו נתונה לשליטה כאמור</w:t>
      </w:r>
      <w:r>
        <w:rPr>
          <w:rFonts w:ascii="David" w:hAnsi="David" w:cs="David" w:hint="cs"/>
          <w:rtl/>
        </w:rPr>
        <w:t>..."</w:t>
      </w:r>
    </w:p>
    <w:p w14:paraId="0C966729" w14:textId="77777777" w:rsidR="00F045F9" w:rsidRPr="00F045F9" w:rsidRDefault="00F045F9" w:rsidP="00FC6F1F">
      <w:pPr>
        <w:pStyle w:val="a4"/>
        <w:ind w:left="-2"/>
        <w:rPr>
          <w:rFonts w:ascii="David" w:hAnsi="David" w:cs="David"/>
          <w:rtl/>
        </w:rPr>
      </w:pPr>
    </w:p>
    <w:p w14:paraId="4E966545" w14:textId="683BE024" w:rsidR="00F9134A" w:rsidRDefault="00F045F9" w:rsidP="00FC6F1F">
      <w:pPr>
        <w:pStyle w:val="a4"/>
        <w:numPr>
          <w:ilvl w:val="0"/>
          <w:numId w:val="6"/>
        </w:numPr>
        <w:spacing w:line="360" w:lineRule="auto"/>
        <w:ind w:left="-2"/>
        <w:jc w:val="both"/>
        <w:rPr>
          <w:rFonts w:ascii="David" w:hAnsi="David" w:cs="David"/>
        </w:rPr>
      </w:pPr>
      <w:r>
        <w:rPr>
          <w:rFonts w:ascii="David" w:hAnsi="David" w:cs="David" w:hint="cs"/>
          <w:rtl/>
        </w:rPr>
        <w:t>מבחן השליטה הגמורה פורש וחודד ב</w:t>
      </w:r>
      <w:r w:rsidR="00F9134A">
        <w:rPr>
          <w:rFonts w:ascii="David" w:hAnsi="David" w:cs="David" w:hint="cs"/>
          <w:rtl/>
        </w:rPr>
        <w:t>ספרות וב</w:t>
      </w:r>
      <w:r>
        <w:rPr>
          <w:rFonts w:ascii="David" w:hAnsi="David" w:cs="David" w:hint="cs"/>
          <w:rtl/>
        </w:rPr>
        <w:t>פסיקה</w:t>
      </w:r>
      <w:r w:rsidR="00F9134A">
        <w:rPr>
          <w:rFonts w:ascii="David" w:hAnsi="David" w:cs="David" w:hint="cs"/>
          <w:rtl/>
        </w:rPr>
        <w:t xml:space="preserve">  </w:t>
      </w:r>
      <w:r w:rsidR="00F9134A" w:rsidRPr="00F20C3C">
        <w:rPr>
          <w:rFonts w:ascii="David" w:hAnsi="David" w:cs="David"/>
          <w:rtl/>
        </w:rPr>
        <w:t>"...השליטה הגמורה על אופן הביצוע מתבטאת בכך שהמעביד קובע את המסגרת הארגונית והטכנית בה יפעל העובד... העובד אינו חפשי לבצע את העבודה הנמסרת ככל העולה על רוחו. הוא חייב לבצעה באופן הארגוני והטכני הנקבעים על ידי המעביד</w:t>
      </w:r>
      <w:r w:rsidR="00F20C3C">
        <w:rPr>
          <w:rFonts w:ascii="David" w:hAnsi="David" w:cs="David" w:hint="cs"/>
          <w:rtl/>
        </w:rPr>
        <w:t>"</w:t>
      </w:r>
      <w:r w:rsidR="00F9134A" w:rsidRPr="00F9134A">
        <w:rPr>
          <w:rFonts w:ascii="David" w:hAnsi="David" w:cs="David"/>
          <w:rtl/>
        </w:rPr>
        <w:t>.(כב' הנשיא השופט בדימוס, אהרון ברק בספרו, אחריות שילוחית בדיני נזיקין (1964), (עמ' 131-135)</w:t>
      </w:r>
      <w:r w:rsidRPr="00F9134A">
        <w:rPr>
          <w:rFonts w:ascii="David" w:hAnsi="David" w:cs="David"/>
          <w:rtl/>
        </w:rPr>
        <w:t xml:space="preserve"> </w:t>
      </w:r>
      <w:r w:rsidR="00F9134A" w:rsidRPr="00F9134A">
        <w:rPr>
          <w:rFonts w:ascii="David" w:hAnsi="David" w:cs="David"/>
        </w:rPr>
        <w:t> </w:t>
      </w:r>
      <w:r w:rsidR="00F9134A" w:rsidRPr="00F9134A">
        <w:rPr>
          <w:rFonts w:ascii="David" w:hAnsi="David" w:cs="David"/>
          <w:rtl/>
        </w:rPr>
        <w:t>ע"א 4530-91 </w:t>
      </w:r>
      <w:r w:rsidR="00F9134A" w:rsidRPr="00F9134A">
        <w:rPr>
          <w:rFonts w:ascii="David" w:hAnsi="David" w:cs="David"/>
          <w:b/>
          <w:bCs/>
          <w:rtl/>
        </w:rPr>
        <w:t>רשות הנמלים והרכבות</w:t>
      </w:r>
      <w:r w:rsidR="00F9134A" w:rsidRPr="00F9134A">
        <w:rPr>
          <w:rFonts w:ascii="David" w:hAnsi="David" w:cs="David"/>
          <w:rtl/>
        </w:rPr>
        <w:t> </w:t>
      </w:r>
      <w:r w:rsidR="00F9134A" w:rsidRPr="00F20C3C">
        <w:rPr>
          <w:rFonts w:ascii="David" w:hAnsi="David" w:cs="David"/>
          <w:b/>
          <w:bCs/>
          <w:rtl/>
        </w:rPr>
        <w:t>נ</w:t>
      </w:r>
      <w:r w:rsidR="00F9134A" w:rsidRPr="00F9134A">
        <w:rPr>
          <w:rFonts w:ascii="David" w:hAnsi="David" w:cs="David"/>
        </w:rPr>
        <w:t> </w:t>
      </w:r>
      <w:r w:rsidR="00F20C3C">
        <w:rPr>
          <w:rFonts w:ascii="David" w:hAnsi="David" w:cs="David" w:hint="cs"/>
          <w:rtl/>
        </w:rPr>
        <w:t>'</w:t>
      </w:r>
      <w:r w:rsidR="00F20C3C">
        <w:rPr>
          <w:rFonts w:ascii="David" w:hAnsi="David" w:cs="David" w:hint="cs"/>
          <w:b/>
          <w:bCs/>
          <w:rtl/>
        </w:rPr>
        <w:t xml:space="preserve"> </w:t>
      </w:r>
      <w:r w:rsidR="00F9134A" w:rsidRPr="00F9134A">
        <w:rPr>
          <w:rFonts w:ascii="David" w:hAnsi="David" w:cs="David"/>
          <w:b/>
          <w:bCs/>
          <w:rtl/>
        </w:rPr>
        <w:t>צים חברת השיט הישראלית בע"מ</w:t>
      </w:r>
      <w:r w:rsidR="00F9134A" w:rsidRPr="00F9134A">
        <w:rPr>
          <w:rFonts w:ascii="David" w:hAnsi="David" w:cs="David"/>
          <w:rtl/>
        </w:rPr>
        <w:t> </w:t>
      </w:r>
      <w:r w:rsidR="00F9134A">
        <w:rPr>
          <w:rFonts w:ascii="David" w:hAnsi="David" w:cs="David" w:hint="cs"/>
          <w:rtl/>
        </w:rPr>
        <w:t>(פורסם בנבו)</w:t>
      </w:r>
    </w:p>
    <w:p w14:paraId="61B6F261" w14:textId="77777777" w:rsidR="00DC23B2" w:rsidRPr="00DC23B2" w:rsidRDefault="00DC23B2" w:rsidP="00FC6F1F">
      <w:pPr>
        <w:spacing w:line="360" w:lineRule="auto"/>
        <w:ind w:left="-2"/>
        <w:jc w:val="both"/>
        <w:rPr>
          <w:rFonts w:ascii="David" w:hAnsi="David" w:cs="David"/>
        </w:rPr>
      </w:pPr>
    </w:p>
    <w:p w14:paraId="005D0BB2" w14:textId="54AF2D04" w:rsidR="00F045F9" w:rsidRDefault="00DC23B2" w:rsidP="00FC6F1F">
      <w:pPr>
        <w:pStyle w:val="a4"/>
        <w:numPr>
          <w:ilvl w:val="0"/>
          <w:numId w:val="6"/>
        </w:numPr>
        <w:spacing w:line="360" w:lineRule="auto"/>
        <w:ind w:left="-2"/>
        <w:jc w:val="both"/>
        <w:rPr>
          <w:rFonts w:ascii="David" w:hAnsi="David" w:cs="David"/>
        </w:rPr>
      </w:pPr>
      <w:r>
        <w:rPr>
          <w:rFonts w:ascii="David" w:hAnsi="David" w:cs="David" w:hint="cs"/>
          <w:rtl/>
        </w:rPr>
        <w:t xml:space="preserve">בת"א(חיפה) 1251/99 </w:t>
      </w:r>
      <w:r>
        <w:rPr>
          <w:rFonts w:ascii="David" w:hAnsi="David" w:cs="David" w:hint="cs"/>
          <w:b/>
          <w:bCs/>
          <w:rtl/>
        </w:rPr>
        <w:t xml:space="preserve">שורק בועז </w:t>
      </w:r>
      <w:r w:rsidR="00D83EE1">
        <w:rPr>
          <w:rFonts w:ascii="David" w:hAnsi="David" w:cs="David" w:hint="cs"/>
          <w:b/>
          <w:bCs/>
          <w:rtl/>
        </w:rPr>
        <w:t>נ</w:t>
      </w:r>
      <w:r>
        <w:rPr>
          <w:rFonts w:ascii="David" w:hAnsi="David" w:cs="David" w:hint="cs"/>
          <w:b/>
          <w:bCs/>
          <w:rtl/>
        </w:rPr>
        <w:t>' המועצה הדתית חיפה</w:t>
      </w:r>
      <w:r>
        <w:rPr>
          <w:rFonts w:ascii="David" w:hAnsi="David" w:cs="David" w:hint="cs"/>
          <w:rtl/>
        </w:rPr>
        <w:t xml:space="preserve"> (פורסם בנבו) נדון עניינו של פגיעת תובע אשר אביו שימש כאיש אחזקה מטעם המועצה וביקש מילדיו לנקות את בית הכנסת תמורת תשלום ששולם להם באמצעותו ע"י המועצה. בתביעה עותר התובע לחייב את המועצה בתשלום פיצוי בגין נזקי גופו שאירעו לו במהלך עבודתו. בפסק דינו דוחה בית המשפט הנכבד את טענת התובע בדבר היות אביו שלוח המועצה להעסקתו ומציין את הכלל הבסיסי לפיו היה על התובע להוכיח שהוא עובד של המועצה ומשלא הוכח אין היא חבה חובת זהירות כלפיו מכח היותה מעבידתו (פסקה 42 </w:t>
      </w:r>
      <w:r w:rsidR="005E444C">
        <w:rPr>
          <w:rFonts w:ascii="David" w:hAnsi="David" w:cs="David" w:hint="cs"/>
          <w:rtl/>
        </w:rPr>
        <w:t>-</w:t>
      </w:r>
      <w:r>
        <w:rPr>
          <w:rFonts w:ascii="David" w:hAnsi="David" w:cs="David" w:hint="cs"/>
          <w:rtl/>
        </w:rPr>
        <w:t>כב' השופטת, הנשיאה ב.גילאור).</w:t>
      </w:r>
    </w:p>
    <w:p w14:paraId="7A5E997D" w14:textId="77777777" w:rsidR="00DC23B2" w:rsidRPr="00DC23B2" w:rsidRDefault="00DC23B2" w:rsidP="00FC6F1F">
      <w:pPr>
        <w:pStyle w:val="a4"/>
        <w:ind w:left="-2"/>
        <w:rPr>
          <w:rFonts w:ascii="David" w:hAnsi="David" w:cs="David"/>
          <w:rtl/>
        </w:rPr>
      </w:pPr>
    </w:p>
    <w:p w14:paraId="5B6986A0" w14:textId="7DB48130" w:rsidR="00DC23B2" w:rsidRDefault="00DC23B2" w:rsidP="00FC6F1F">
      <w:pPr>
        <w:pStyle w:val="a4"/>
        <w:numPr>
          <w:ilvl w:val="0"/>
          <w:numId w:val="6"/>
        </w:numPr>
        <w:spacing w:line="360" w:lineRule="auto"/>
        <w:ind w:left="-2"/>
        <w:jc w:val="both"/>
        <w:rPr>
          <w:rFonts w:ascii="David" w:hAnsi="David" w:cs="David"/>
        </w:rPr>
      </w:pPr>
      <w:r>
        <w:rPr>
          <w:rFonts w:ascii="David" w:hAnsi="David" w:cs="David" w:hint="cs"/>
          <w:rtl/>
        </w:rPr>
        <w:t xml:space="preserve">גם במקרה דנן, המערער 2 כלל לא היה עובד המערערת 1 במועד התאונה, על מנת שאדם יחשב מעביד ויהיה בעל שליטה גמורה צריך הוא לכל הפחות, להיות עובד, או בר סמכות שניתנה לו כדין </w:t>
      </w:r>
      <w:r>
        <w:rPr>
          <w:rFonts w:ascii="David" w:hAnsi="David" w:cs="David"/>
          <w:rtl/>
        </w:rPr>
        <w:t>–</w:t>
      </w:r>
      <w:r>
        <w:rPr>
          <w:rFonts w:ascii="David" w:hAnsi="David" w:cs="David" w:hint="cs"/>
          <w:rtl/>
        </w:rPr>
        <w:t xml:space="preserve"> לא הוכח ולא בוסס דבר ביחס להיות של המערער 2 עובד</w:t>
      </w:r>
      <w:r w:rsidR="00E76AD3">
        <w:rPr>
          <w:rFonts w:ascii="David" w:hAnsi="David" w:cs="David" w:hint="cs"/>
          <w:rtl/>
        </w:rPr>
        <w:t xml:space="preserve"> או בר הרשאה לתת הוראות ו/או הנחיות ומכאן שנעדר שליטה כלל.</w:t>
      </w:r>
    </w:p>
    <w:p w14:paraId="0C63E2D1" w14:textId="77777777" w:rsidR="00E76AD3" w:rsidRPr="00E76AD3" w:rsidRDefault="00E76AD3" w:rsidP="00FC6F1F">
      <w:pPr>
        <w:pStyle w:val="a4"/>
        <w:ind w:left="-2"/>
        <w:rPr>
          <w:rFonts w:ascii="David" w:hAnsi="David" w:cs="David"/>
          <w:rtl/>
        </w:rPr>
      </w:pPr>
    </w:p>
    <w:p w14:paraId="7841B905" w14:textId="630A55F3" w:rsidR="00E76AD3" w:rsidRDefault="00E76AD3" w:rsidP="00FC6F1F">
      <w:pPr>
        <w:pStyle w:val="a4"/>
        <w:numPr>
          <w:ilvl w:val="0"/>
          <w:numId w:val="6"/>
        </w:numPr>
        <w:spacing w:line="360" w:lineRule="auto"/>
        <w:ind w:left="-2"/>
        <w:jc w:val="both"/>
        <w:rPr>
          <w:rFonts w:ascii="David" w:hAnsi="David" w:cs="David"/>
        </w:rPr>
      </w:pPr>
      <w:r>
        <w:rPr>
          <w:rFonts w:ascii="David" w:hAnsi="David" w:cs="David" w:hint="cs"/>
          <w:rtl/>
        </w:rPr>
        <w:t>הראיות, הקביעות בפסק הדין והסתירות בעדותו של המשיב מביאות למסקנה הפוכה מזו אליה הגיע בית המשפט הנכבד קמא, המעסיקה הינה המערערת 1.</w:t>
      </w:r>
    </w:p>
    <w:p w14:paraId="67E00FBD" w14:textId="77777777" w:rsidR="00E76AD3" w:rsidRPr="00E76AD3" w:rsidRDefault="00E76AD3" w:rsidP="00FC6F1F">
      <w:pPr>
        <w:pStyle w:val="a4"/>
        <w:ind w:left="-2"/>
        <w:rPr>
          <w:rFonts w:ascii="David" w:hAnsi="David" w:cs="David"/>
          <w:rtl/>
        </w:rPr>
      </w:pPr>
    </w:p>
    <w:p w14:paraId="226A6CE3" w14:textId="655EC569" w:rsidR="00E76AD3" w:rsidRDefault="00E76AD3" w:rsidP="00FC6F1F">
      <w:pPr>
        <w:pStyle w:val="a4"/>
        <w:numPr>
          <w:ilvl w:val="0"/>
          <w:numId w:val="6"/>
        </w:numPr>
        <w:spacing w:line="360" w:lineRule="auto"/>
        <w:ind w:left="-2"/>
        <w:jc w:val="both"/>
        <w:rPr>
          <w:rFonts w:ascii="David" w:hAnsi="David" w:cs="David"/>
        </w:rPr>
      </w:pPr>
      <w:r>
        <w:rPr>
          <w:rFonts w:ascii="David" w:hAnsi="David" w:cs="David" w:hint="cs"/>
          <w:rtl/>
        </w:rPr>
        <w:t>המשיב לא הוכיח כלל, וודאי שלא במאזן הסתברויות את טענתו בדבר היות המערער 2 מעביד בהתאם להוראות הפקודה והפסיקה והנטל להוכחת היות גורם מעביד באמצעות מבחן השליטה כאמור מוטל על כתפי הטוען לכך-המשיב, נטל שלא הורם.</w:t>
      </w:r>
    </w:p>
    <w:p w14:paraId="493D1FB5" w14:textId="77777777" w:rsidR="00E76AD3" w:rsidRPr="00E76AD3" w:rsidRDefault="00E76AD3" w:rsidP="00FC6F1F">
      <w:pPr>
        <w:pStyle w:val="a4"/>
        <w:ind w:left="-2"/>
        <w:rPr>
          <w:rFonts w:ascii="David" w:hAnsi="David" w:cs="David"/>
          <w:rtl/>
        </w:rPr>
      </w:pPr>
    </w:p>
    <w:p w14:paraId="002FEA53" w14:textId="08EB2E3B" w:rsidR="00E76AD3" w:rsidRDefault="00E76AD3" w:rsidP="00FC6F1F">
      <w:pPr>
        <w:pStyle w:val="a4"/>
        <w:numPr>
          <w:ilvl w:val="0"/>
          <w:numId w:val="6"/>
        </w:numPr>
        <w:spacing w:line="360" w:lineRule="auto"/>
        <w:ind w:left="-2"/>
        <w:jc w:val="both"/>
        <w:rPr>
          <w:rFonts w:ascii="David" w:hAnsi="David" w:cs="David"/>
        </w:rPr>
      </w:pPr>
      <w:r>
        <w:rPr>
          <w:rFonts w:ascii="David" w:hAnsi="David" w:cs="David" w:hint="cs"/>
          <w:rtl/>
        </w:rPr>
        <w:t>טעה בית המשפט הנכבד שקבע כאמור בפסק דינו ומכל המפורט לעיל</w:t>
      </w:r>
      <w:r w:rsidR="008A1202">
        <w:rPr>
          <w:rFonts w:ascii="David" w:hAnsi="David" w:cs="David" w:hint="cs"/>
          <w:rtl/>
        </w:rPr>
        <w:t>, לא הוכח הנטען כנגד המערער 2</w:t>
      </w:r>
      <w:r>
        <w:rPr>
          <w:rFonts w:ascii="David" w:hAnsi="David" w:cs="David" w:hint="cs"/>
          <w:rtl/>
        </w:rPr>
        <w:t xml:space="preserve"> </w:t>
      </w:r>
      <w:r w:rsidR="008A1202">
        <w:rPr>
          <w:rFonts w:ascii="David" w:hAnsi="David" w:cs="David" w:hint="cs"/>
          <w:rtl/>
        </w:rPr>
        <w:t xml:space="preserve">והמערערים יטענו </w:t>
      </w:r>
      <w:r>
        <w:rPr>
          <w:rFonts w:ascii="David" w:hAnsi="David" w:cs="David" w:hint="cs"/>
          <w:rtl/>
        </w:rPr>
        <w:t>כי יש לקבל את הערעור בנושא זה ולקבוע כי הנתבעת 1 בלבד חבה בתשלום הפיצוי שיקבע למשיב .</w:t>
      </w:r>
    </w:p>
    <w:p w14:paraId="21F653EC" w14:textId="0EABC3B7" w:rsidR="00D56B7E" w:rsidRPr="008863BE" w:rsidRDefault="00D56B7E" w:rsidP="00FC6F1F">
      <w:pPr>
        <w:pStyle w:val="a4"/>
        <w:numPr>
          <w:ilvl w:val="0"/>
          <w:numId w:val="10"/>
        </w:numPr>
        <w:spacing w:line="360" w:lineRule="auto"/>
        <w:ind w:left="-2"/>
        <w:rPr>
          <w:rFonts w:ascii="David" w:hAnsi="David" w:cs="David"/>
          <w:b/>
          <w:bCs/>
          <w:u w:val="single"/>
        </w:rPr>
      </w:pPr>
      <w:r w:rsidRPr="00E76AD3">
        <w:rPr>
          <w:rFonts w:ascii="David" w:hAnsi="David" w:cs="David" w:hint="cs"/>
          <w:b/>
          <w:bCs/>
          <w:sz w:val="28"/>
          <w:szCs w:val="28"/>
          <w:u w:val="single"/>
          <w:rtl/>
        </w:rPr>
        <w:t xml:space="preserve">בסיס השכר- השכר הלא מדווח </w:t>
      </w:r>
      <w:r w:rsidR="00E76AD3" w:rsidRPr="00E76AD3">
        <w:rPr>
          <w:rFonts w:ascii="David" w:hAnsi="David" w:cs="David"/>
          <w:b/>
          <w:bCs/>
          <w:sz w:val="28"/>
          <w:szCs w:val="28"/>
          <w:u w:val="single"/>
          <w:rtl/>
        </w:rPr>
        <w:t>–</w:t>
      </w:r>
      <w:r w:rsidR="00E76AD3" w:rsidRPr="00E76AD3">
        <w:rPr>
          <w:rFonts w:ascii="David" w:hAnsi="David" w:cs="David" w:hint="cs"/>
          <w:b/>
          <w:bCs/>
          <w:sz w:val="28"/>
          <w:szCs w:val="28"/>
          <w:u w:val="single"/>
          <w:rtl/>
        </w:rPr>
        <w:t xml:space="preserve"> הפסדי ההשתכרות </w:t>
      </w:r>
      <w:r w:rsidR="00E76AD3" w:rsidRPr="00E76AD3">
        <w:rPr>
          <w:rFonts w:ascii="David" w:hAnsi="David" w:cs="David"/>
          <w:b/>
          <w:bCs/>
          <w:sz w:val="28"/>
          <w:szCs w:val="28"/>
          <w:u w:val="single"/>
          <w:rtl/>
        </w:rPr>
        <w:t>–</w:t>
      </w:r>
      <w:r w:rsidR="00E76AD3" w:rsidRPr="00E76AD3">
        <w:rPr>
          <w:rFonts w:ascii="David" w:hAnsi="David" w:cs="David" w:hint="cs"/>
          <w:b/>
          <w:bCs/>
          <w:sz w:val="28"/>
          <w:szCs w:val="28"/>
          <w:u w:val="single"/>
          <w:rtl/>
        </w:rPr>
        <w:t xml:space="preserve"> נזק ממוני</w:t>
      </w:r>
    </w:p>
    <w:p w14:paraId="779B3A58" w14:textId="77777777" w:rsidR="008A1202" w:rsidRDefault="00641609" w:rsidP="00FC6F1F">
      <w:pPr>
        <w:pStyle w:val="a4"/>
        <w:numPr>
          <w:ilvl w:val="0"/>
          <w:numId w:val="6"/>
        </w:numPr>
        <w:spacing w:line="360" w:lineRule="auto"/>
        <w:ind w:left="-2"/>
        <w:jc w:val="both"/>
        <w:rPr>
          <w:rFonts w:ascii="David" w:hAnsi="David" w:cs="David"/>
        </w:rPr>
      </w:pPr>
      <w:r>
        <w:rPr>
          <w:rFonts w:ascii="David" w:hAnsi="David" w:cs="David" w:hint="cs"/>
          <w:rtl/>
        </w:rPr>
        <w:t>טעה</w:t>
      </w:r>
      <w:r w:rsidR="001104DE">
        <w:rPr>
          <w:rFonts w:ascii="David" w:hAnsi="David" w:cs="David" w:hint="cs"/>
          <w:rtl/>
        </w:rPr>
        <w:t xml:space="preserve"> בית המשפט הנכבד בקובעו</w:t>
      </w:r>
      <w:r>
        <w:rPr>
          <w:rFonts w:ascii="David" w:hAnsi="David" w:cs="David" w:hint="cs"/>
          <w:rtl/>
        </w:rPr>
        <w:t xml:space="preserve"> </w:t>
      </w:r>
      <w:r w:rsidR="001104DE">
        <w:rPr>
          <w:rFonts w:ascii="David" w:hAnsi="David" w:cs="David" w:hint="cs"/>
          <w:rtl/>
        </w:rPr>
        <w:t>כי</w:t>
      </w:r>
      <w:r w:rsidR="00D56B7E">
        <w:rPr>
          <w:rFonts w:ascii="David" w:hAnsi="David" w:cs="David" w:hint="cs"/>
          <w:rtl/>
        </w:rPr>
        <w:t xml:space="preserve"> המשיב קיבל שכר בשיעור </w:t>
      </w:r>
      <w:r>
        <w:rPr>
          <w:rFonts w:ascii="David" w:hAnsi="David" w:cs="David" w:hint="cs"/>
          <w:rtl/>
        </w:rPr>
        <w:t>העולה</w:t>
      </w:r>
      <w:r w:rsidR="00D56B7E">
        <w:rPr>
          <w:rFonts w:ascii="David" w:hAnsi="David" w:cs="David" w:hint="cs"/>
          <w:rtl/>
        </w:rPr>
        <w:t xml:space="preserve"> </w:t>
      </w:r>
      <w:r>
        <w:rPr>
          <w:rFonts w:ascii="David" w:hAnsi="David" w:cs="David" w:hint="cs"/>
          <w:rtl/>
        </w:rPr>
        <w:t xml:space="preserve">על </w:t>
      </w:r>
      <w:r w:rsidR="00D56B7E">
        <w:rPr>
          <w:rFonts w:ascii="David" w:hAnsi="David" w:cs="David" w:hint="cs"/>
          <w:rtl/>
        </w:rPr>
        <w:t>שכרו המדווח</w:t>
      </w:r>
      <w:r w:rsidR="0091434E">
        <w:rPr>
          <w:rFonts w:ascii="David" w:hAnsi="David" w:cs="David" w:hint="cs"/>
          <w:rtl/>
        </w:rPr>
        <w:t xml:space="preserve"> משלא הוכח.</w:t>
      </w:r>
    </w:p>
    <w:p w14:paraId="41EF2CF8" w14:textId="137B2DDD" w:rsidR="00BC4B77" w:rsidRPr="008A1202" w:rsidRDefault="00D56B7E" w:rsidP="00FC6F1F">
      <w:pPr>
        <w:pStyle w:val="a4"/>
        <w:spacing w:line="360" w:lineRule="auto"/>
        <w:ind w:left="-2"/>
        <w:jc w:val="both"/>
        <w:rPr>
          <w:rFonts w:ascii="David" w:hAnsi="David" w:cs="David"/>
        </w:rPr>
      </w:pPr>
      <w:r w:rsidRPr="008A1202">
        <w:rPr>
          <w:rFonts w:ascii="David" w:hAnsi="David" w:cs="David" w:hint="cs"/>
          <w:rtl/>
        </w:rPr>
        <w:t xml:space="preserve"> לא זו בלבד </w:t>
      </w:r>
      <w:r w:rsidR="001104DE" w:rsidRPr="008A1202">
        <w:rPr>
          <w:rFonts w:ascii="David" w:hAnsi="David" w:cs="David" w:hint="cs"/>
          <w:rtl/>
        </w:rPr>
        <w:t>שטענה זו לא</w:t>
      </w:r>
      <w:r w:rsidRPr="008A1202">
        <w:rPr>
          <w:rFonts w:ascii="David" w:hAnsi="David" w:cs="David" w:hint="cs"/>
          <w:rtl/>
        </w:rPr>
        <w:t xml:space="preserve"> נתמכת בראיות כדין, היא אינה מתקבלת על הדעת בנסיבות </w:t>
      </w:r>
      <w:r w:rsidRPr="008A1202">
        <w:rPr>
          <w:rFonts w:ascii="David" w:hAnsi="David" w:cs="David"/>
          <w:rtl/>
        </w:rPr>
        <w:t>–</w:t>
      </w:r>
      <w:r w:rsidRPr="008A1202">
        <w:rPr>
          <w:rFonts w:ascii="David" w:hAnsi="David" w:cs="David" w:hint="cs"/>
          <w:rtl/>
        </w:rPr>
        <w:t xml:space="preserve"> כפי שיפורט להלן</w:t>
      </w:r>
      <w:r w:rsidR="00F87E89" w:rsidRPr="008A1202">
        <w:rPr>
          <w:rFonts w:ascii="David" w:hAnsi="David" w:cs="David" w:hint="cs"/>
          <w:rtl/>
        </w:rPr>
        <w:t>.</w:t>
      </w:r>
    </w:p>
    <w:p w14:paraId="2AB04FA3" w14:textId="76427863" w:rsidR="00D56B7E" w:rsidRDefault="00D56B7E" w:rsidP="0055479D">
      <w:pPr>
        <w:pStyle w:val="a4"/>
        <w:numPr>
          <w:ilvl w:val="0"/>
          <w:numId w:val="7"/>
        </w:numPr>
        <w:spacing w:line="360" w:lineRule="auto"/>
        <w:ind w:left="281" w:hanging="283"/>
        <w:jc w:val="both"/>
        <w:rPr>
          <w:rFonts w:ascii="David" w:hAnsi="David" w:cs="David"/>
        </w:rPr>
      </w:pPr>
      <w:r>
        <w:rPr>
          <w:rFonts w:ascii="David" w:hAnsi="David" w:cs="David" w:hint="cs"/>
          <w:rtl/>
        </w:rPr>
        <w:t>טענת המשיב נטענה בעלמא ללא שהוצגה ראיה כלשהי.</w:t>
      </w:r>
    </w:p>
    <w:p w14:paraId="08F04E10" w14:textId="4B5386B9" w:rsidR="00D56B7E" w:rsidRDefault="00D56B7E" w:rsidP="0055479D">
      <w:pPr>
        <w:pStyle w:val="a4"/>
        <w:numPr>
          <w:ilvl w:val="0"/>
          <w:numId w:val="7"/>
        </w:numPr>
        <w:spacing w:line="360" w:lineRule="auto"/>
        <w:ind w:left="281" w:hanging="283"/>
        <w:jc w:val="both"/>
        <w:rPr>
          <w:rFonts w:ascii="David" w:hAnsi="David" w:cs="David"/>
        </w:rPr>
      </w:pPr>
      <w:r>
        <w:rPr>
          <w:rFonts w:ascii="David" w:hAnsi="David" w:cs="David" w:hint="cs"/>
          <w:rtl/>
        </w:rPr>
        <w:t xml:space="preserve">המשיב אשר נפגע בתאונת עבודה לא פנה בתביעה/תביעות לבית הדין על מנת שיכירו בשכרו הלא מדווח כהכנסה דבר אשר עשוי </w:t>
      </w:r>
      <w:r w:rsidR="001104DE">
        <w:rPr>
          <w:rFonts w:ascii="David" w:hAnsi="David" w:cs="David" w:hint="cs"/>
          <w:rtl/>
        </w:rPr>
        <w:t xml:space="preserve">להגדיל את </w:t>
      </w:r>
      <w:r>
        <w:rPr>
          <w:rFonts w:ascii="David" w:hAnsi="David" w:cs="David" w:hint="cs"/>
          <w:rtl/>
        </w:rPr>
        <w:t xml:space="preserve"> קצבת נכות מעבודה </w:t>
      </w:r>
      <w:r w:rsidR="001104DE">
        <w:rPr>
          <w:rFonts w:ascii="David" w:hAnsi="David" w:cs="David" w:hint="cs"/>
          <w:rtl/>
        </w:rPr>
        <w:t>המשתלמת לו לכל חייו.</w:t>
      </w:r>
    </w:p>
    <w:p w14:paraId="5AE0D98C" w14:textId="437B6141" w:rsidR="00D56B7E" w:rsidRDefault="00D56B7E" w:rsidP="0055479D">
      <w:pPr>
        <w:pStyle w:val="a4"/>
        <w:numPr>
          <w:ilvl w:val="0"/>
          <w:numId w:val="7"/>
        </w:numPr>
        <w:spacing w:line="360" w:lineRule="auto"/>
        <w:ind w:left="281" w:hanging="283"/>
        <w:jc w:val="both"/>
        <w:rPr>
          <w:rFonts w:ascii="David" w:hAnsi="David" w:cs="David"/>
        </w:rPr>
      </w:pPr>
      <w:r>
        <w:rPr>
          <w:rFonts w:ascii="David" w:hAnsi="David" w:cs="David" w:hint="cs"/>
          <w:rtl/>
        </w:rPr>
        <w:t xml:space="preserve">המשיב היה שבע רצון מהשכר המדווח ומהעובדה שניתנת לו האפשרות לעבוד בישראל וללון מבלי לשלם שכר לינה </w:t>
      </w:r>
      <w:r w:rsidR="001104DE">
        <w:rPr>
          <w:rFonts w:ascii="David" w:hAnsi="David" w:cs="David" w:hint="cs"/>
          <w:rtl/>
        </w:rPr>
        <w:t>וחסכון הוצאות</w:t>
      </w:r>
      <w:r>
        <w:rPr>
          <w:rFonts w:ascii="David" w:hAnsi="David" w:cs="David" w:hint="cs"/>
          <w:rtl/>
        </w:rPr>
        <w:t xml:space="preserve"> בגין נסיעות לשטחי הרשות וחזרה.</w:t>
      </w:r>
    </w:p>
    <w:p w14:paraId="692D36C3" w14:textId="689736D3" w:rsidR="00C771FA" w:rsidRPr="00D50BB6" w:rsidRDefault="00C771FA" w:rsidP="00D50BB6">
      <w:pPr>
        <w:pStyle w:val="a4"/>
        <w:numPr>
          <w:ilvl w:val="0"/>
          <w:numId w:val="6"/>
        </w:numPr>
        <w:spacing w:line="360" w:lineRule="auto"/>
        <w:ind w:left="-2"/>
        <w:jc w:val="both"/>
        <w:rPr>
          <w:rFonts w:ascii="David" w:hAnsi="David" w:cs="David"/>
          <w:rtl/>
        </w:rPr>
      </w:pPr>
      <w:r w:rsidRPr="00F87E89">
        <w:rPr>
          <w:rFonts w:ascii="David" w:hAnsi="David" w:cs="David" w:hint="cs"/>
          <w:rtl/>
        </w:rPr>
        <w:t xml:space="preserve">הלכת לסקוב, מפי כב' הנשיא (דהיום) כב' השופט עמית, ההלכה הדנה בשכר לא מדווח והנטל להוכחתו </w:t>
      </w:r>
      <w:r w:rsidR="00D50BB6">
        <w:rPr>
          <w:rFonts w:ascii="David" w:hAnsi="David" w:cs="David" w:hint="cs"/>
          <w:rtl/>
        </w:rPr>
        <w:t>שרירים</w:t>
      </w:r>
      <w:r w:rsidRPr="00F87E89">
        <w:rPr>
          <w:rFonts w:ascii="David" w:hAnsi="David" w:cs="David" w:hint="cs"/>
          <w:rtl/>
        </w:rPr>
        <w:t xml:space="preserve"> וקיימ</w:t>
      </w:r>
      <w:r w:rsidR="00D50BB6">
        <w:rPr>
          <w:rFonts w:ascii="David" w:hAnsi="David" w:cs="David" w:hint="cs"/>
          <w:rtl/>
        </w:rPr>
        <w:t>ים</w:t>
      </w:r>
      <w:r w:rsidRPr="00D50BB6">
        <w:rPr>
          <w:rFonts w:ascii="David" w:hAnsi="David" w:cs="David" w:hint="cs"/>
          <w:rtl/>
        </w:rPr>
        <w:t xml:space="preserve"> (ע"א 4816-20 </w:t>
      </w:r>
      <w:r w:rsidRPr="00D50BB6">
        <w:rPr>
          <w:rFonts w:ascii="David" w:hAnsi="David" w:cs="David" w:hint="cs"/>
          <w:b/>
          <w:bCs/>
          <w:rtl/>
        </w:rPr>
        <w:t>יאן לסקוב נ' פלונית</w:t>
      </w:r>
      <w:r w:rsidRPr="00D50BB6">
        <w:rPr>
          <w:rFonts w:ascii="David" w:hAnsi="David" w:cs="David" w:hint="cs"/>
          <w:rtl/>
        </w:rPr>
        <w:t xml:space="preserve"> (פורסם בנבו)</w:t>
      </w:r>
      <w:r w:rsidR="00D50BB6">
        <w:rPr>
          <w:rFonts w:ascii="David" w:hAnsi="David" w:cs="David" w:hint="cs"/>
          <w:rtl/>
        </w:rPr>
        <w:t>)</w:t>
      </w:r>
      <w:r w:rsidRPr="00D50BB6">
        <w:rPr>
          <w:rFonts w:ascii="David" w:hAnsi="David" w:cs="David" w:hint="cs"/>
          <w:rtl/>
        </w:rPr>
        <w:t xml:space="preserve">. הסוגיה והשאלה העקרונית האם בכלל נכון לקבל טענה בדבר שכר לא מדווח נדונה והוכרעה, וכך נפסק להלכה.  כב' נשיא בית המשפט העליון, השופט עמית קבע שורה של "כללי אצבע" להערכת השכר הלא מדווח בדגש על נטל ההוכחה המוגבר להוכחת גובה ההכנסה הלא מדווחת (ראו גם ע"א 8991/21 </w:t>
      </w:r>
      <w:r w:rsidRPr="00D50BB6">
        <w:rPr>
          <w:rFonts w:ascii="David" w:hAnsi="David" w:cs="David"/>
          <w:b/>
          <w:bCs/>
          <w:rtl/>
        </w:rPr>
        <w:t>פלונית נ' קרנית הקרן לפיצוי נפגעי תאונות דרכים</w:t>
      </w:r>
      <w:r w:rsidRPr="00D50BB6">
        <w:rPr>
          <w:rFonts w:ascii="David" w:hAnsi="David" w:cs="David"/>
          <w:rtl/>
        </w:rPr>
        <w:t xml:space="preserve"> (19.09.2022)‏‏</w:t>
      </w:r>
      <w:r w:rsidRPr="00D50BB6">
        <w:rPr>
          <w:rFonts w:ascii="David" w:hAnsi="David" w:cs="David" w:hint="cs"/>
          <w:rtl/>
        </w:rPr>
        <w:t xml:space="preserve"> :</w:t>
      </w:r>
    </w:p>
    <w:p w14:paraId="077C33B1" w14:textId="07345145" w:rsidR="00C771FA" w:rsidRPr="00C771FA" w:rsidRDefault="00C771FA" w:rsidP="0055479D">
      <w:pPr>
        <w:numPr>
          <w:ilvl w:val="1"/>
          <w:numId w:val="9"/>
        </w:numPr>
        <w:spacing w:line="360" w:lineRule="auto"/>
        <w:ind w:left="565"/>
        <w:jc w:val="both"/>
        <w:rPr>
          <w:rFonts w:ascii="David" w:hAnsi="David" w:cs="David"/>
        </w:rPr>
      </w:pPr>
      <w:r>
        <w:rPr>
          <w:rFonts w:ascii="David" w:hAnsi="David" w:cs="David" w:hint="cs"/>
          <w:rtl/>
        </w:rPr>
        <w:t>"</w:t>
      </w:r>
      <w:r w:rsidRPr="00C771FA">
        <w:rPr>
          <w:rFonts w:ascii="David" w:eastAsia="Calibri" w:hAnsi="David" w:cs="David" w:hint="cs"/>
          <w:rtl/>
        </w:rPr>
        <w:t xml:space="preserve"> </w:t>
      </w:r>
      <w:r w:rsidRPr="00C771FA">
        <w:rPr>
          <w:rFonts w:ascii="David" w:hAnsi="David" w:cs="David" w:hint="cs"/>
          <w:rtl/>
        </w:rPr>
        <w:t>על הניזוק-התובע נטל הוכחה מוגבר להוכחת גובה השתכרותו הלא מדווחת.</w:t>
      </w:r>
    </w:p>
    <w:p w14:paraId="42D7B0E4" w14:textId="77777777" w:rsidR="00C771FA" w:rsidRPr="00C771FA" w:rsidRDefault="00C771FA" w:rsidP="0055479D">
      <w:pPr>
        <w:numPr>
          <w:ilvl w:val="1"/>
          <w:numId w:val="9"/>
        </w:numPr>
        <w:spacing w:line="360" w:lineRule="auto"/>
        <w:ind w:left="565"/>
        <w:jc w:val="both"/>
        <w:rPr>
          <w:rFonts w:ascii="David" w:hAnsi="David" w:cs="David"/>
        </w:rPr>
      </w:pPr>
      <w:r w:rsidRPr="00C771FA">
        <w:rPr>
          <w:rFonts w:ascii="David" w:hAnsi="David" w:cs="David" w:hint="cs"/>
          <w:rtl/>
        </w:rPr>
        <w:t>אין מקום להשתמש בנקודות מוצא כמו שכר מינימום או שכר ממוצע במשק לצורך הערכת גובה ההכנסה הלא מדווחת.</w:t>
      </w:r>
    </w:p>
    <w:p w14:paraId="67A9FF61" w14:textId="77777777" w:rsidR="00C771FA" w:rsidRPr="00C771FA" w:rsidRDefault="00C771FA" w:rsidP="0055479D">
      <w:pPr>
        <w:numPr>
          <w:ilvl w:val="1"/>
          <w:numId w:val="9"/>
        </w:numPr>
        <w:spacing w:line="360" w:lineRule="auto"/>
        <w:ind w:left="565"/>
        <w:jc w:val="both"/>
        <w:rPr>
          <w:rFonts w:ascii="David" w:hAnsi="David" w:cs="David"/>
        </w:rPr>
      </w:pPr>
      <w:r w:rsidRPr="00C771FA">
        <w:rPr>
          <w:rFonts w:ascii="David" w:hAnsi="David" w:cs="David" w:hint="cs"/>
          <w:rtl/>
        </w:rPr>
        <w:t>גם משהוכחה ההכנסה הלא מדווחת, יש להפחיתה לצורך חישוב הפיצויים, ולו במעט לאור השיקולים האמורים לעיל.</w:t>
      </w:r>
    </w:p>
    <w:p w14:paraId="7FB7234C" w14:textId="77777777" w:rsidR="00C771FA" w:rsidRPr="00C771FA" w:rsidRDefault="00C771FA" w:rsidP="0055479D">
      <w:pPr>
        <w:numPr>
          <w:ilvl w:val="1"/>
          <w:numId w:val="9"/>
        </w:numPr>
        <w:spacing w:line="360" w:lineRule="auto"/>
        <w:ind w:left="565"/>
        <w:jc w:val="both"/>
        <w:rPr>
          <w:rFonts w:ascii="David" w:hAnsi="David" w:cs="David"/>
        </w:rPr>
      </w:pPr>
      <w:r w:rsidRPr="00C771FA">
        <w:rPr>
          <w:rFonts w:ascii="David" w:hAnsi="David" w:cs="David" w:hint="cs"/>
          <w:rtl/>
        </w:rPr>
        <w:t>יש להתייחס בחומרה רבה יותר למצג פוזיטיבי של אי השתכרות כלפי הרשויות להבדיל מאי דיווח פסיבי.</w:t>
      </w:r>
    </w:p>
    <w:p w14:paraId="2FD20C80" w14:textId="77777777" w:rsidR="00C771FA" w:rsidRPr="00C771FA" w:rsidRDefault="00C771FA" w:rsidP="0055479D">
      <w:pPr>
        <w:numPr>
          <w:ilvl w:val="1"/>
          <w:numId w:val="9"/>
        </w:numPr>
        <w:spacing w:line="360" w:lineRule="auto"/>
        <w:ind w:left="565"/>
        <w:rPr>
          <w:rFonts w:ascii="David" w:hAnsi="David" w:cs="David"/>
        </w:rPr>
      </w:pPr>
      <w:r w:rsidRPr="00C771FA">
        <w:rPr>
          <w:rFonts w:ascii="David" w:hAnsi="David" w:cs="David" w:hint="cs"/>
          <w:rtl/>
        </w:rPr>
        <w:t>יש להתייחס בחומרה רבה יותר לאי דיווח של עצמאי מאשר לאי דיווח של שכיר שמעבידו לא הנפיק לו תלוש משכורת.</w:t>
      </w:r>
    </w:p>
    <w:p w14:paraId="283667F0" w14:textId="77777777" w:rsidR="00C771FA" w:rsidRPr="00C771FA" w:rsidRDefault="00C771FA" w:rsidP="0055479D">
      <w:pPr>
        <w:numPr>
          <w:ilvl w:val="1"/>
          <w:numId w:val="9"/>
        </w:numPr>
        <w:spacing w:line="360" w:lineRule="auto"/>
        <w:ind w:left="565"/>
        <w:rPr>
          <w:rFonts w:ascii="David" w:hAnsi="David" w:cs="David"/>
        </w:rPr>
      </w:pPr>
      <w:r w:rsidRPr="00C771FA">
        <w:rPr>
          <w:rFonts w:ascii="David" w:hAnsi="David" w:cs="David" w:hint="cs"/>
          <w:rtl/>
        </w:rPr>
        <w:t>יש להתייחס בחומרה רבה יותר לניזוק החי מאשר לתביעת אלמנה ותלויים.</w:t>
      </w:r>
    </w:p>
    <w:p w14:paraId="42843C72" w14:textId="5A381037" w:rsidR="001104DE" w:rsidRDefault="00E86980" w:rsidP="00FC6F1F">
      <w:pPr>
        <w:pStyle w:val="a4"/>
        <w:numPr>
          <w:ilvl w:val="0"/>
          <w:numId w:val="6"/>
        </w:numPr>
        <w:spacing w:line="360" w:lineRule="auto"/>
        <w:ind w:left="-2"/>
        <w:jc w:val="both"/>
        <w:rPr>
          <w:rFonts w:ascii="David" w:hAnsi="David" w:cs="David"/>
        </w:rPr>
      </w:pPr>
      <w:r>
        <w:rPr>
          <w:rFonts w:ascii="David" w:hAnsi="David" w:cs="David" w:hint="cs"/>
          <w:rtl/>
        </w:rPr>
        <w:t xml:space="preserve">בענייננו, </w:t>
      </w:r>
      <w:r w:rsidR="00614BFD" w:rsidRPr="00F87E89">
        <w:rPr>
          <w:rFonts w:ascii="David" w:hAnsi="David" w:cs="David" w:hint="cs"/>
          <w:rtl/>
        </w:rPr>
        <w:t xml:space="preserve">שכר שאינו מדווח </w:t>
      </w:r>
      <w:r w:rsidR="008A1202">
        <w:rPr>
          <w:rFonts w:ascii="David" w:hAnsi="David" w:cs="David" w:hint="cs"/>
          <w:rtl/>
        </w:rPr>
        <w:t xml:space="preserve">לא הוכח </w:t>
      </w:r>
      <w:r>
        <w:rPr>
          <w:rFonts w:ascii="David" w:hAnsi="David" w:cs="David" w:hint="cs"/>
          <w:rtl/>
        </w:rPr>
        <w:t>ו</w:t>
      </w:r>
      <w:r w:rsidR="001104DE">
        <w:rPr>
          <w:rFonts w:ascii="David" w:hAnsi="David" w:cs="David" w:hint="cs"/>
          <w:rtl/>
        </w:rPr>
        <w:t>טעה</w:t>
      </w:r>
      <w:r w:rsidR="00614BFD" w:rsidRPr="00F87E89">
        <w:rPr>
          <w:rFonts w:ascii="David" w:hAnsi="David" w:cs="David" w:hint="cs"/>
          <w:rtl/>
        </w:rPr>
        <w:t xml:space="preserve"> בית המשפט בכך שהתעלם מההלכה וקבע כאמור בפסק דינו.</w:t>
      </w:r>
    </w:p>
    <w:p w14:paraId="029874EC" w14:textId="77777777" w:rsidR="001104DE" w:rsidRDefault="001104DE" w:rsidP="00FC6F1F">
      <w:pPr>
        <w:pStyle w:val="a4"/>
        <w:spacing w:line="360" w:lineRule="auto"/>
        <w:ind w:left="-2"/>
        <w:jc w:val="both"/>
        <w:rPr>
          <w:rFonts w:ascii="David" w:hAnsi="David" w:cs="David"/>
        </w:rPr>
      </w:pPr>
    </w:p>
    <w:p w14:paraId="2E4893F7" w14:textId="5BB2466C" w:rsidR="00C762A8" w:rsidRDefault="00C762A8" w:rsidP="00FC6F1F">
      <w:pPr>
        <w:pStyle w:val="a4"/>
        <w:numPr>
          <w:ilvl w:val="0"/>
          <w:numId w:val="6"/>
        </w:numPr>
        <w:spacing w:line="360" w:lineRule="auto"/>
        <w:ind w:left="-2"/>
        <w:jc w:val="both"/>
        <w:rPr>
          <w:rFonts w:ascii="David" w:hAnsi="David" w:cs="David"/>
        </w:rPr>
      </w:pPr>
      <w:r w:rsidRPr="00C762A8">
        <w:rPr>
          <w:rFonts w:ascii="David" w:hAnsi="David" w:cs="David" w:hint="cs"/>
          <w:rtl/>
        </w:rPr>
        <w:t xml:space="preserve"> </w:t>
      </w:r>
      <w:r>
        <w:rPr>
          <w:rFonts w:ascii="David" w:hAnsi="David" w:cs="David" w:hint="cs"/>
          <w:rtl/>
        </w:rPr>
        <w:t>בית המשפט קמא טעה בכך שזקף לחובת המערער 2 חוסר ידיעה לשאלות הנוגעות להעסקת המשיב וטעה פעם נוספת שיחס זאת לחוסר מהימנות</w:t>
      </w:r>
      <w:r w:rsidR="001104DE">
        <w:rPr>
          <w:rFonts w:ascii="David" w:hAnsi="David" w:cs="David" w:hint="cs"/>
          <w:rtl/>
        </w:rPr>
        <w:t xml:space="preserve"> והתייחס לכך</w:t>
      </w:r>
      <w:r>
        <w:rPr>
          <w:rFonts w:ascii="David" w:hAnsi="David" w:cs="David" w:hint="cs"/>
          <w:rtl/>
        </w:rPr>
        <w:t xml:space="preserve"> </w:t>
      </w:r>
      <w:r w:rsidR="001104DE">
        <w:rPr>
          <w:rFonts w:ascii="David" w:hAnsi="David" w:cs="David" w:hint="cs"/>
          <w:rtl/>
        </w:rPr>
        <w:t>כ</w:t>
      </w:r>
      <w:r>
        <w:rPr>
          <w:rFonts w:ascii="David" w:hAnsi="David" w:cs="David" w:hint="cs"/>
          <w:rtl/>
        </w:rPr>
        <w:t xml:space="preserve">ראיה נגטיבית </w:t>
      </w:r>
      <w:r>
        <w:rPr>
          <w:rFonts w:ascii="David" w:hAnsi="David" w:cs="David"/>
          <w:rtl/>
        </w:rPr>
        <w:t>–</w:t>
      </w:r>
      <w:r>
        <w:rPr>
          <w:rFonts w:ascii="David" w:hAnsi="David" w:cs="David" w:hint="cs"/>
          <w:rtl/>
        </w:rPr>
        <w:t xml:space="preserve"> נסיבתית המהווה לשיטתו טעם להעדיף את גירסת המשיב על פניו גירסתו  (פסקה 54 עמ' 12 </w:t>
      </w:r>
      <w:r>
        <w:rPr>
          <w:rFonts w:ascii="David" w:hAnsi="David" w:cs="David"/>
          <w:rtl/>
        </w:rPr>
        <w:t>–</w:t>
      </w:r>
      <w:r>
        <w:rPr>
          <w:rFonts w:ascii="David" w:hAnsi="David" w:cs="David" w:hint="cs"/>
          <w:rtl/>
        </w:rPr>
        <w:t xml:space="preserve"> 13 לפסה"ד).</w:t>
      </w:r>
    </w:p>
    <w:p w14:paraId="31613F40" w14:textId="77777777" w:rsidR="00C762A8" w:rsidRPr="00DD1367" w:rsidRDefault="00C762A8" w:rsidP="00FC6F1F">
      <w:pPr>
        <w:spacing w:line="360" w:lineRule="auto"/>
        <w:ind w:left="-2"/>
        <w:jc w:val="both"/>
        <w:rPr>
          <w:rFonts w:ascii="David" w:hAnsi="David" w:cs="David"/>
        </w:rPr>
      </w:pPr>
    </w:p>
    <w:p w14:paraId="7AC44FE4" w14:textId="05E406E4" w:rsidR="00C762A8" w:rsidRDefault="00C762A8" w:rsidP="00FC6F1F">
      <w:pPr>
        <w:pStyle w:val="a4"/>
        <w:numPr>
          <w:ilvl w:val="0"/>
          <w:numId w:val="6"/>
        </w:numPr>
        <w:spacing w:line="360" w:lineRule="auto"/>
        <w:ind w:left="-2"/>
        <w:jc w:val="both"/>
        <w:rPr>
          <w:rFonts w:ascii="David" w:hAnsi="David" w:cs="David"/>
        </w:rPr>
      </w:pPr>
      <w:r>
        <w:rPr>
          <w:rFonts w:ascii="David" w:hAnsi="David" w:cs="David" w:hint="cs"/>
          <w:rtl/>
        </w:rPr>
        <w:t xml:space="preserve">הכיצד ניתן לזקוף לחובת המערער 2 אי ידיעה אודות דברים שהטענה היחידה להתקיימותם טמונה בצד בעל אינטרס </w:t>
      </w:r>
      <w:r>
        <w:rPr>
          <w:rFonts w:ascii="David" w:hAnsi="David" w:cs="David"/>
          <w:rtl/>
        </w:rPr>
        <w:t>–</w:t>
      </w:r>
      <w:r>
        <w:rPr>
          <w:rFonts w:ascii="David" w:hAnsi="David" w:cs="David" w:hint="cs"/>
          <w:rtl/>
        </w:rPr>
        <w:t xml:space="preserve"> כשם שהח"מ אינו יודע מהן שעות ותנאי העבודה של עובד פלוני בבית משפט השלום בתל אביב</w:t>
      </w:r>
      <w:r w:rsidR="001104DE">
        <w:rPr>
          <w:rFonts w:ascii="David" w:hAnsi="David" w:cs="David" w:hint="cs"/>
          <w:rtl/>
        </w:rPr>
        <w:t xml:space="preserve"> ולא מצופה ממנו להעיד בדבר כך לא צריך היה להיות מצופה מהמערער 2 להשיב לשאלות שתשובותיהן אינן ידועות לו.</w:t>
      </w:r>
    </w:p>
    <w:p w14:paraId="5839CF45" w14:textId="77777777" w:rsidR="00C762A8" w:rsidRPr="00DD1367" w:rsidRDefault="00C762A8" w:rsidP="00FC6F1F">
      <w:pPr>
        <w:pStyle w:val="a4"/>
        <w:ind w:left="-2"/>
        <w:rPr>
          <w:rFonts w:ascii="David" w:hAnsi="David" w:cs="David"/>
          <w:rtl/>
        </w:rPr>
      </w:pPr>
    </w:p>
    <w:p w14:paraId="3CD16435" w14:textId="77777777" w:rsidR="00C762A8" w:rsidRDefault="00C762A8" w:rsidP="00FC6F1F">
      <w:pPr>
        <w:pStyle w:val="a4"/>
        <w:numPr>
          <w:ilvl w:val="0"/>
          <w:numId w:val="6"/>
        </w:numPr>
        <w:spacing w:line="360" w:lineRule="auto"/>
        <w:ind w:left="-2"/>
        <w:jc w:val="both"/>
        <w:rPr>
          <w:rFonts w:ascii="David" w:hAnsi="David" w:cs="David"/>
        </w:rPr>
      </w:pPr>
      <w:r>
        <w:rPr>
          <w:rFonts w:ascii="David" w:hAnsi="David" w:cs="David" w:hint="cs"/>
          <w:rtl/>
        </w:rPr>
        <w:lastRenderedPageBreak/>
        <w:t>ההנחה שהמערער 2 יודע את התשובות לשאלות ומתחמק ממתן תשובה מתבססת על כך שהוא עובד ו/או בעל תפקיד ניהולי במערערת 1 וזה כאמור לא נכון ולא הוכח. בית המשפט הנכבד קמא טעה בכך טעות שיורדת לשורשו של עניין.</w:t>
      </w:r>
    </w:p>
    <w:p w14:paraId="47FE0C70" w14:textId="77777777" w:rsidR="00C762A8" w:rsidRPr="00DD1367" w:rsidRDefault="00C762A8" w:rsidP="00FC6F1F">
      <w:pPr>
        <w:pStyle w:val="a4"/>
        <w:ind w:left="-2"/>
        <w:rPr>
          <w:rFonts w:ascii="David" w:hAnsi="David" w:cs="David"/>
          <w:rtl/>
        </w:rPr>
      </w:pPr>
    </w:p>
    <w:p w14:paraId="782FED97" w14:textId="77777777" w:rsidR="00C762A8" w:rsidRDefault="00C762A8" w:rsidP="00FC6F1F">
      <w:pPr>
        <w:pStyle w:val="a4"/>
        <w:numPr>
          <w:ilvl w:val="0"/>
          <w:numId w:val="6"/>
        </w:numPr>
        <w:spacing w:line="360" w:lineRule="auto"/>
        <w:ind w:left="-2"/>
        <w:jc w:val="both"/>
        <w:rPr>
          <w:rFonts w:ascii="David" w:hAnsi="David" w:cs="David"/>
        </w:rPr>
      </w:pPr>
      <w:r>
        <w:rPr>
          <w:rFonts w:ascii="David" w:hAnsi="David" w:cs="David" w:hint="cs"/>
          <w:rtl/>
        </w:rPr>
        <w:t xml:space="preserve">כך לדוגמא בנושא שכרו המערער 2 הוצב בפני סיטואציה בלתי אפשרית ללא מוצא </w:t>
      </w:r>
      <w:r>
        <w:rPr>
          <w:rFonts w:ascii="David" w:hAnsi="David" w:cs="David"/>
          <w:rtl/>
        </w:rPr>
        <w:t>–</w:t>
      </w:r>
      <w:r>
        <w:rPr>
          <w:rFonts w:ascii="David" w:hAnsi="David" w:cs="David" w:hint="cs"/>
          <w:rtl/>
        </w:rPr>
        <w:t xml:space="preserve"> שנשאל לשעות עבודת הפועל ואומר שאינו יודע הדבר עומד לחובתו, כשנשאל בנושא אופי השכר ומשיב על פי השמועה מעומת הוא עם תשובתו לפיה אמר שאינו יודע </w:t>
      </w:r>
      <w:r>
        <w:rPr>
          <w:rFonts w:ascii="David" w:hAnsi="David" w:cs="David"/>
          <w:rtl/>
        </w:rPr>
        <w:t>–</w:t>
      </w:r>
      <w:r>
        <w:rPr>
          <w:rFonts w:ascii="David" w:hAnsi="David" w:cs="David" w:hint="cs"/>
          <w:rtl/>
        </w:rPr>
        <w:t xml:space="preserve"> במצב דברים זה ניתן להגיע לכל </w:t>
      </w:r>
      <w:r w:rsidRPr="008B6E69">
        <w:rPr>
          <w:rFonts w:ascii="David" w:hAnsi="David" w:cs="David" w:hint="cs"/>
          <w:rtl/>
        </w:rPr>
        <w:t xml:space="preserve">תוצאה </w:t>
      </w:r>
      <w:r w:rsidRPr="008B6E69">
        <w:rPr>
          <w:rFonts w:ascii="David" w:hAnsi="David" w:cs="David"/>
          <w:rtl/>
        </w:rPr>
        <w:t>–</w:t>
      </w:r>
      <w:r w:rsidRPr="008B6E69">
        <w:rPr>
          <w:rFonts w:ascii="David" w:hAnsi="David" w:cs="David" w:hint="cs"/>
          <w:rtl/>
        </w:rPr>
        <w:t xml:space="preserve"> לא לכך התכוון בית משפט נכבד זה עת נקבעה ההלכה הדנה בשכר לא מדווח.</w:t>
      </w:r>
    </w:p>
    <w:p w14:paraId="7B0C4EA4" w14:textId="77777777" w:rsidR="00614BFD" w:rsidRDefault="00614BFD" w:rsidP="00FC6F1F">
      <w:pPr>
        <w:pStyle w:val="a4"/>
        <w:spacing w:line="360" w:lineRule="auto"/>
        <w:ind w:left="-2"/>
        <w:rPr>
          <w:rFonts w:ascii="David" w:hAnsi="David" w:cs="David"/>
        </w:rPr>
      </w:pPr>
    </w:p>
    <w:p w14:paraId="7EC68FCB" w14:textId="254AE390" w:rsidR="00D56B7E" w:rsidRPr="0055479D" w:rsidRDefault="00D56B7E" w:rsidP="0055479D">
      <w:pPr>
        <w:pStyle w:val="a4"/>
        <w:numPr>
          <w:ilvl w:val="0"/>
          <w:numId w:val="6"/>
        </w:numPr>
        <w:spacing w:line="360" w:lineRule="auto"/>
        <w:ind w:left="-2"/>
        <w:jc w:val="both"/>
        <w:rPr>
          <w:rFonts w:ascii="David" w:hAnsi="David" w:cs="David"/>
        </w:rPr>
      </w:pPr>
      <w:r w:rsidRPr="001104DE">
        <w:rPr>
          <w:rFonts w:ascii="David" w:hAnsi="David" w:cs="David" w:hint="cs"/>
          <w:rtl/>
        </w:rPr>
        <w:t>אין מחלוקת על כך שהמשיב ביקש לקבל תשלום במזומן</w:t>
      </w:r>
      <w:r w:rsidR="001104DE">
        <w:rPr>
          <w:rFonts w:ascii="David" w:hAnsi="David" w:cs="David" w:hint="cs"/>
          <w:rtl/>
        </w:rPr>
        <w:t xml:space="preserve"> (עמ' 7 ס' 31 לסיכומי הנתבעים)</w:t>
      </w:r>
      <w:r w:rsidRPr="001104DE">
        <w:rPr>
          <w:rFonts w:ascii="David" w:hAnsi="David" w:cs="David" w:hint="cs"/>
          <w:rtl/>
        </w:rPr>
        <w:t>, המשיב ביקש לקבל את שכרו היחסי פעם בשבוע עובר לסוף השבוע</w:t>
      </w:r>
      <w:r w:rsidR="00BD1F55" w:rsidRPr="001104DE">
        <w:rPr>
          <w:rFonts w:ascii="David" w:hAnsi="David" w:cs="David" w:hint="cs"/>
          <w:rtl/>
        </w:rPr>
        <w:t xml:space="preserve">. </w:t>
      </w:r>
      <w:r w:rsidR="00BD1F55" w:rsidRPr="0055479D">
        <w:rPr>
          <w:rFonts w:ascii="David" w:hAnsi="David" w:cs="David" w:hint="cs"/>
          <w:rtl/>
        </w:rPr>
        <w:t>המערער 2 מעיד כי במספר הזדמנויות המנוח לא יכול היה להעביר את התשלום כאמור למשיב ועל כן הוא עשה זאת בעבורו</w:t>
      </w:r>
      <w:r w:rsidR="003B7B9A" w:rsidRPr="0055479D">
        <w:rPr>
          <w:rFonts w:ascii="David" w:hAnsi="David" w:cs="David" w:hint="cs"/>
          <w:rtl/>
        </w:rPr>
        <w:t xml:space="preserve">(ס' 19 </w:t>
      </w:r>
      <w:r w:rsidR="002B7B54" w:rsidRPr="0055479D">
        <w:rPr>
          <w:rFonts w:ascii="David" w:hAnsi="David" w:cs="David" w:hint="cs"/>
          <w:rtl/>
        </w:rPr>
        <w:t>לתצהי</w:t>
      </w:r>
      <w:r w:rsidR="002B7B54" w:rsidRPr="0055479D">
        <w:rPr>
          <w:rFonts w:ascii="David" w:hAnsi="David" w:cs="David" w:hint="eastAsia"/>
          <w:rtl/>
        </w:rPr>
        <w:t>ר</w:t>
      </w:r>
      <w:r w:rsidR="003B7B9A" w:rsidRPr="0055479D">
        <w:rPr>
          <w:rFonts w:ascii="David" w:hAnsi="David" w:cs="David" w:hint="cs"/>
          <w:rtl/>
        </w:rPr>
        <w:t xml:space="preserve"> עדות ראשית מטעמו של הנתבע 3/המערער 2, עמ' 26 ש'</w:t>
      </w:r>
      <w:r w:rsidR="00BD1F55" w:rsidRPr="0055479D">
        <w:rPr>
          <w:rFonts w:ascii="David" w:hAnsi="David" w:cs="David" w:hint="cs"/>
          <w:rtl/>
        </w:rPr>
        <w:t xml:space="preserve"> </w:t>
      </w:r>
      <w:r w:rsidR="003B7B9A" w:rsidRPr="0055479D">
        <w:rPr>
          <w:rFonts w:ascii="David" w:hAnsi="David" w:cs="David" w:hint="cs"/>
          <w:rtl/>
        </w:rPr>
        <w:t>27 לפרוטוקול דיון ההוכחות)</w:t>
      </w:r>
      <w:r w:rsidR="00BD1F55" w:rsidRPr="0055479D">
        <w:rPr>
          <w:rFonts w:ascii="David" w:hAnsi="David" w:cs="David"/>
          <w:rtl/>
        </w:rPr>
        <w:t>–</w:t>
      </w:r>
      <w:r w:rsidR="00BD1F55" w:rsidRPr="0055479D">
        <w:rPr>
          <w:rFonts w:ascii="David" w:hAnsi="David" w:cs="David" w:hint="cs"/>
          <w:rtl/>
        </w:rPr>
        <w:t xml:space="preserve"> אין המדובר בשכר מעבר לשכרו המדווח, המשיב לא קיבל שכר לא מדווח וקבלת הטענה שקיבל אינה יכולה לעמוד בנסיבות ובית המשפט הנכבד מתבקש להתערב גם בנקודה זו.</w:t>
      </w:r>
    </w:p>
    <w:p w14:paraId="09901670" w14:textId="77777777" w:rsidR="00FC6F1F" w:rsidRDefault="00FC6F1F" w:rsidP="00FC6F1F">
      <w:pPr>
        <w:pStyle w:val="a4"/>
        <w:spacing w:line="360" w:lineRule="auto"/>
        <w:ind w:left="-2"/>
        <w:rPr>
          <w:rFonts w:ascii="David" w:hAnsi="David" w:cs="David"/>
        </w:rPr>
      </w:pPr>
    </w:p>
    <w:p w14:paraId="4E4CA16F" w14:textId="78DC2E73" w:rsidR="00E5695C" w:rsidRDefault="00F2668D" w:rsidP="002B7B54">
      <w:pPr>
        <w:pStyle w:val="a4"/>
        <w:numPr>
          <w:ilvl w:val="0"/>
          <w:numId w:val="6"/>
        </w:numPr>
        <w:spacing w:line="360" w:lineRule="auto"/>
        <w:ind w:left="-2"/>
        <w:jc w:val="both"/>
        <w:rPr>
          <w:rFonts w:ascii="David" w:hAnsi="David" w:cs="David"/>
        </w:rPr>
      </w:pPr>
      <w:r w:rsidRPr="003B7B9A">
        <w:rPr>
          <w:rFonts w:ascii="David" w:hAnsi="David" w:cs="David" w:hint="cs"/>
          <w:rtl/>
        </w:rPr>
        <w:t xml:space="preserve">על פי דיווחי השכר למל"ל </w:t>
      </w:r>
      <w:r w:rsidR="00E5695C" w:rsidRPr="003B7B9A">
        <w:rPr>
          <w:rFonts w:ascii="David" w:hAnsi="David" w:cs="David" w:hint="cs"/>
          <w:rtl/>
        </w:rPr>
        <w:t>שכרו של המשיב ערב התאונה הסתכם בסך של 4,</w:t>
      </w:r>
      <w:r w:rsidRPr="003B7B9A">
        <w:rPr>
          <w:rFonts w:ascii="David" w:hAnsi="David" w:cs="David" w:hint="cs"/>
          <w:rtl/>
        </w:rPr>
        <w:t>585</w:t>
      </w:r>
      <w:r w:rsidR="00E5695C" w:rsidRPr="003B7B9A">
        <w:rPr>
          <w:rFonts w:ascii="David" w:hAnsi="David" w:cs="David" w:hint="cs"/>
          <w:rtl/>
        </w:rPr>
        <w:t xml:space="preserve"> ₪, </w:t>
      </w:r>
      <w:r w:rsidRPr="003B7B9A">
        <w:rPr>
          <w:rFonts w:ascii="David" w:hAnsi="David" w:cs="David" w:hint="cs"/>
          <w:rtl/>
        </w:rPr>
        <w:t xml:space="preserve">עמ' 12 פסקה 50 לפסה"ד) </w:t>
      </w:r>
      <w:r w:rsidR="00E5695C" w:rsidRPr="003B7B9A">
        <w:rPr>
          <w:rFonts w:ascii="David" w:hAnsi="David" w:cs="David" w:hint="cs"/>
          <w:rtl/>
        </w:rPr>
        <w:t>, הדבר בא לידי ביטוי הן בתלושי השכר והן בדיווחים לרשויות. כפי שצויין לעיל, אין מחלוקת שהמשיב קיבל את שכרו במזומן פעם בשבוע כך על פי בקשתו.</w:t>
      </w:r>
    </w:p>
    <w:p w14:paraId="4AE4AEFB" w14:textId="77777777" w:rsidR="003B7B9A" w:rsidRDefault="003B7B9A" w:rsidP="00FC6F1F">
      <w:pPr>
        <w:pStyle w:val="a4"/>
        <w:spacing w:line="360" w:lineRule="auto"/>
        <w:ind w:left="-2"/>
        <w:rPr>
          <w:rFonts w:ascii="David" w:hAnsi="David" w:cs="David"/>
        </w:rPr>
      </w:pPr>
    </w:p>
    <w:p w14:paraId="5F2801D4" w14:textId="2EB28974" w:rsidR="00E5695C" w:rsidRDefault="00E5695C" w:rsidP="005E444C">
      <w:pPr>
        <w:pStyle w:val="a4"/>
        <w:numPr>
          <w:ilvl w:val="0"/>
          <w:numId w:val="6"/>
        </w:numPr>
        <w:spacing w:line="360" w:lineRule="auto"/>
        <w:ind w:left="-2"/>
        <w:jc w:val="both"/>
        <w:rPr>
          <w:rFonts w:ascii="David" w:hAnsi="David" w:cs="David"/>
        </w:rPr>
      </w:pPr>
      <w:r w:rsidRPr="003B7B9A">
        <w:rPr>
          <w:rFonts w:ascii="David" w:hAnsi="David" w:cs="David" w:hint="cs"/>
          <w:rtl/>
        </w:rPr>
        <w:t xml:space="preserve">על אף שעובדה זו הוכחה ואין ולו ראיה אחת שתצביע על שכר בשיעור שונה מזה המדווח, </w:t>
      </w:r>
      <w:r w:rsidR="00F2668D" w:rsidRPr="003B7B9A">
        <w:rPr>
          <w:rFonts w:ascii="David" w:hAnsi="David" w:cs="David" w:hint="cs"/>
          <w:rtl/>
        </w:rPr>
        <w:t xml:space="preserve">קבע בית המשפט הנכבד קמא מספר  קביעות שאין להן שום אחיזה במציאות וכולן </w:t>
      </w:r>
      <w:r w:rsidR="005E444C">
        <w:rPr>
          <w:rFonts w:ascii="David" w:hAnsi="David" w:cs="David" w:hint="cs"/>
          <w:rtl/>
        </w:rPr>
        <w:t>לא הוכחו.</w:t>
      </w:r>
      <w:r w:rsidR="00F2668D" w:rsidRPr="003B7B9A">
        <w:rPr>
          <w:rFonts w:ascii="David" w:hAnsi="David" w:cs="David" w:hint="cs"/>
          <w:rtl/>
        </w:rPr>
        <w:t xml:space="preserve"> </w:t>
      </w:r>
    </w:p>
    <w:p w14:paraId="2E859CA9" w14:textId="77777777" w:rsidR="003B7B9A" w:rsidRPr="003B7B9A" w:rsidRDefault="003B7B9A" w:rsidP="00FC6F1F">
      <w:pPr>
        <w:pStyle w:val="a4"/>
        <w:ind w:left="-2"/>
        <w:rPr>
          <w:rFonts w:ascii="David" w:hAnsi="David" w:cs="David"/>
          <w:rtl/>
        </w:rPr>
      </w:pPr>
    </w:p>
    <w:p w14:paraId="26338804" w14:textId="3910CE1F" w:rsidR="00F2668D" w:rsidRDefault="00F2668D" w:rsidP="005E444C">
      <w:pPr>
        <w:pStyle w:val="a4"/>
        <w:numPr>
          <w:ilvl w:val="0"/>
          <w:numId w:val="6"/>
        </w:numPr>
        <w:spacing w:line="360" w:lineRule="auto"/>
        <w:ind w:left="-2"/>
        <w:jc w:val="both"/>
        <w:rPr>
          <w:rFonts w:ascii="David" w:hAnsi="David" w:cs="David"/>
        </w:rPr>
      </w:pPr>
      <w:r w:rsidRPr="003B7B9A">
        <w:rPr>
          <w:rFonts w:ascii="David" w:hAnsi="David" w:cs="David" w:hint="cs"/>
          <w:rtl/>
        </w:rPr>
        <w:t xml:space="preserve">בית המשפט הנכבד קמא מכיר בכך שאין ולא ראיה אחת המסייעת למשיב בנושא זה, ומכאן בוחר הוא לקבוע שמדובר בגרסה מול גרסה ולהעדיף את גירסת המשיב  (עמ' 12 פסקה 54 לפסה"ד). אלא, שאין המדובר בגרסה מול גרסה, המדובר הוא בעדות סדורה בצירוף נתוני השתכרות ודיווחים כנדרש, אל מול אמירה של המשיב. </w:t>
      </w:r>
    </w:p>
    <w:p w14:paraId="05DD610A" w14:textId="77777777" w:rsidR="003B7B9A" w:rsidRPr="003B7B9A" w:rsidRDefault="003B7B9A" w:rsidP="00FC6F1F">
      <w:pPr>
        <w:spacing w:line="360" w:lineRule="auto"/>
        <w:ind w:left="-2"/>
        <w:rPr>
          <w:rFonts w:ascii="David" w:hAnsi="David" w:cs="David"/>
        </w:rPr>
      </w:pPr>
    </w:p>
    <w:p w14:paraId="7C54FE0C" w14:textId="22E403EB" w:rsidR="003F1121" w:rsidRDefault="003B7B9A" w:rsidP="00FC6F1F">
      <w:pPr>
        <w:pStyle w:val="a4"/>
        <w:numPr>
          <w:ilvl w:val="0"/>
          <w:numId w:val="6"/>
        </w:numPr>
        <w:spacing w:line="360" w:lineRule="auto"/>
        <w:ind w:left="-2"/>
        <w:jc w:val="both"/>
        <w:rPr>
          <w:rFonts w:ascii="David" w:hAnsi="David" w:cs="David"/>
        </w:rPr>
      </w:pPr>
      <w:r>
        <w:rPr>
          <w:rFonts w:ascii="David" w:hAnsi="David" w:cs="David" w:hint="cs"/>
          <w:rtl/>
        </w:rPr>
        <w:t xml:space="preserve">טעה </w:t>
      </w:r>
      <w:r w:rsidR="003F1121" w:rsidRPr="003B7B9A">
        <w:rPr>
          <w:rFonts w:ascii="David" w:hAnsi="David" w:cs="David" w:hint="cs"/>
          <w:rtl/>
        </w:rPr>
        <w:t xml:space="preserve">בית המשפט הנכבד </w:t>
      </w:r>
      <w:r>
        <w:rPr>
          <w:rFonts w:ascii="David" w:hAnsi="David" w:cs="David" w:hint="cs"/>
          <w:rtl/>
        </w:rPr>
        <w:t>בקובעו</w:t>
      </w:r>
      <w:r w:rsidR="003F1121" w:rsidRPr="003B7B9A">
        <w:rPr>
          <w:rFonts w:ascii="David" w:hAnsi="David" w:cs="David" w:hint="cs"/>
          <w:rtl/>
        </w:rPr>
        <w:t xml:space="preserve"> ש"אין מסמכים או גרסה ניטרלית לכאן או לכאן". (פסקה 54 לפסה"ד) שעה שיש כזאת </w:t>
      </w:r>
      <w:r w:rsidR="003F1121" w:rsidRPr="003B7B9A">
        <w:rPr>
          <w:rFonts w:ascii="David" w:hAnsi="David" w:cs="David"/>
          <w:rtl/>
        </w:rPr>
        <w:t>–</w:t>
      </w:r>
      <w:r w:rsidR="003F1121" w:rsidRPr="003B7B9A">
        <w:rPr>
          <w:rFonts w:ascii="David" w:hAnsi="David" w:cs="David" w:hint="cs"/>
          <w:rtl/>
        </w:rPr>
        <w:t xml:space="preserve"> תלושי השכר והדיווחים למשרד הפנים.</w:t>
      </w:r>
    </w:p>
    <w:p w14:paraId="12C4FA08" w14:textId="77777777" w:rsidR="003B7B9A" w:rsidRPr="003B7B9A" w:rsidRDefault="003B7B9A" w:rsidP="00FC6F1F">
      <w:pPr>
        <w:spacing w:line="360" w:lineRule="auto"/>
        <w:ind w:left="-2"/>
        <w:jc w:val="both"/>
        <w:rPr>
          <w:rFonts w:ascii="David" w:hAnsi="David" w:cs="David"/>
        </w:rPr>
      </w:pPr>
    </w:p>
    <w:p w14:paraId="5149C966" w14:textId="29ABD2F5" w:rsidR="003F1121" w:rsidRDefault="00F2668D" w:rsidP="00FC6F1F">
      <w:pPr>
        <w:pStyle w:val="a4"/>
        <w:numPr>
          <w:ilvl w:val="0"/>
          <w:numId w:val="6"/>
        </w:numPr>
        <w:spacing w:line="360" w:lineRule="auto"/>
        <w:ind w:left="-2"/>
        <w:jc w:val="both"/>
        <w:rPr>
          <w:rFonts w:ascii="David" w:hAnsi="David" w:cs="David"/>
        </w:rPr>
      </w:pPr>
      <w:r w:rsidRPr="003B7B9A">
        <w:rPr>
          <w:rFonts w:ascii="David" w:hAnsi="David" w:cs="David" w:hint="cs"/>
          <w:rtl/>
        </w:rPr>
        <w:t xml:space="preserve">המשיב טען בתצהירו </w:t>
      </w:r>
      <w:r w:rsidR="003F1121" w:rsidRPr="003B7B9A">
        <w:rPr>
          <w:rFonts w:ascii="David" w:hAnsi="David" w:cs="David" w:hint="cs"/>
          <w:rtl/>
        </w:rPr>
        <w:t>ששכרו המדווח עמד על "כ-4,700 ₪ ברוטו בממוצע לחודש ע"פ תלושי השכר" (עמ' 8 ס' 66 לתצהירו)</w:t>
      </w:r>
      <w:r w:rsidR="00BA5B85">
        <w:rPr>
          <w:rFonts w:ascii="David" w:hAnsi="David" w:cs="David" w:hint="cs"/>
          <w:rtl/>
        </w:rPr>
        <w:t xml:space="preserve"> שערכם המשוערך (הצמדה) 5,583 ₪ </w:t>
      </w:r>
    </w:p>
    <w:p w14:paraId="4B2726A7" w14:textId="77777777" w:rsidR="003B7B9A" w:rsidRPr="003B7B9A" w:rsidRDefault="003B7B9A" w:rsidP="00FC6F1F">
      <w:pPr>
        <w:spacing w:line="360" w:lineRule="auto"/>
        <w:ind w:left="-2"/>
        <w:jc w:val="both"/>
        <w:rPr>
          <w:rFonts w:ascii="David" w:hAnsi="David" w:cs="David"/>
        </w:rPr>
      </w:pPr>
    </w:p>
    <w:p w14:paraId="5E39284B" w14:textId="1E34B6E4" w:rsidR="00F2668D" w:rsidRDefault="003B7B9A" w:rsidP="00FC6F1F">
      <w:pPr>
        <w:pStyle w:val="a4"/>
        <w:numPr>
          <w:ilvl w:val="0"/>
          <w:numId w:val="6"/>
        </w:numPr>
        <w:spacing w:line="360" w:lineRule="auto"/>
        <w:ind w:left="-2"/>
        <w:jc w:val="both"/>
        <w:rPr>
          <w:rFonts w:ascii="David" w:hAnsi="David" w:cs="David"/>
        </w:rPr>
      </w:pPr>
      <w:r>
        <w:rPr>
          <w:rFonts w:ascii="David" w:hAnsi="David" w:cs="David" w:hint="cs"/>
          <w:rtl/>
        </w:rPr>
        <w:t xml:space="preserve">טעה </w:t>
      </w:r>
      <w:r w:rsidR="003F1121" w:rsidRPr="003B7B9A">
        <w:rPr>
          <w:rFonts w:ascii="David" w:hAnsi="David" w:cs="David" w:hint="cs"/>
          <w:rtl/>
        </w:rPr>
        <w:t xml:space="preserve">בית המשפט הנכבד קמא </w:t>
      </w:r>
      <w:r>
        <w:rPr>
          <w:rFonts w:ascii="David" w:hAnsi="David" w:cs="David" w:hint="cs"/>
          <w:rtl/>
        </w:rPr>
        <w:t>בקביעת</w:t>
      </w:r>
      <w:r w:rsidR="003F1121" w:rsidRPr="003B7B9A">
        <w:rPr>
          <w:rFonts w:ascii="David" w:hAnsi="David" w:cs="David" w:hint="cs"/>
          <w:rtl/>
        </w:rPr>
        <w:t xml:space="preserve"> בסיס שכרו בסך של 7,000 ₪ לחודש וזאת לאחר שערוך השכר המדווח בתוספת שכר לא מדווח</w:t>
      </w:r>
      <w:r w:rsidR="000A150E" w:rsidRPr="003B7B9A">
        <w:rPr>
          <w:rFonts w:ascii="David" w:hAnsi="David" w:cs="David" w:hint="cs"/>
          <w:rtl/>
        </w:rPr>
        <w:t xml:space="preserve"> (עמ' 13 פסקה 56 לפסה"ד)</w:t>
      </w:r>
      <w:r w:rsidR="003F1121" w:rsidRPr="003B7B9A">
        <w:rPr>
          <w:rFonts w:ascii="David" w:hAnsi="David" w:cs="David" w:hint="cs"/>
          <w:rtl/>
        </w:rPr>
        <w:t xml:space="preserve"> ובכך שגה בית המשפט קמא. </w:t>
      </w:r>
    </w:p>
    <w:p w14:paraId="5E5DB0C7" w14:textId="77777777" w:rsidR="003B7B9A" w:rsidRDefault="003B7B9A" w:rsidP="00FC6F1F">
      <w:pPr>
        <w:pStyle w:val="a4"/>
        <w:spacing w:line="360" w:lineRule="auto"/>
        <w:ind w:left="-2"/>
        <w:jc w:val="both"/>
        <w:rPr>
          <w:rFonts w:ascii="David" w:hAnsi="David" w:cs="David"/>
        </w:rPr>
      </w:pPr>
    </w:p>
    <w:p w14:paraId="699B1381" w14:textId="3A811448" w:rsidR="002F3D17" w:rsidRDefault="002F3D17" w:rsidP="00DF067B">
      <w:pPr>
        <w:pStyle w:val="a4"/>
        <w:numPr>
          <w:ilvl w:val="0"/>
          <w:numId w:val="6"/>
        </w:numPr>
        <w:spacing w:line="360" w:lineRule="auto"/>
        <w:ind w:left="-2"/>
        <w:jc w:val="both"/>
        <w:rPr>
          <w:rFonts w:ascii="David" w:hAnsi="David" w:cs="David"/>
        </w:rPr>
      </w:pPr>
      <w:r w:rsidRPr="003B7B9A">
        <w:rPr>
          <w:rFonts w:ascii="David" w:hAnsi="David" w:cs="David" w:hint="cs"/>
          <w:rtl/>
        </w:rPr>
        <w:t>הצדדים הסכימו כי הנכות הרפואית כפי שנקבעה ע"י המל"ל תחייב בתביעה (עמ' 11 ,פסקה 45 ש' 4-5 לפסה"ד). בהתאם להסכמת הצדדים נכותו של המשיב הינה 71.2% (להלן:"</w:t>
      </w:r>
      <w:r w:rsidRPr="003B7B9A">
        <w:rPr>
          <w:rFonts w:ascii="David" w:hAnsi="David" w:cs="David" w:hint="cs"/>
          <w:b/>
          <w:bCs/>
          <w:rtl/>
        </w:rPr>
        <w:t>הנכות</w:t>
      </w:r>
      <w:r w:rsidRPr="003B7B9A">
        <w:rPr>
          <w:rFonts w:ascii="David" w:hAnsi="David" w:cs="David" w:hint="cs"/>
          <w:rtl/>
        </w:rPr>
        <w:t xml:space="preserve">") נתון זה </w:t>
      </w:r>
      <w:r w:rsidRPr="003B7B9A">
        <w:rPr>
          <w:rFonts w:ascii="David" w:hAnsi="David" w:cs="David"/>
          <w:rtl/>
        </w:rPr>
        <w:t>–</w:t>
      </w:r>
      <w:r w:rsidRPr="003B7B9A">
        <w:rPr>
          <w:rFonts w:ascii="David" w:hAnsi="David" w:cs="David" w:hint="cs"/>
          <w:rtl/>
        </w:rPr>
        <w:t xml:space="preserve"> 71.2% נעדר </w:t>
      </w:r>
      <w:r w:rsidRPr="003B7B9A">
        <w:rPr>
          <w:rFonts w:ascii="David" w:hAnsi="David" w:cs="David" w:hint="cs"/>
          <w:rtl/>
        </w:rPr>
        <w:lastRenderedPageBreak/>
        <w:t xml:space="preserve">אזכור  בפסה"ד. </w:t>
      </w:r>
      <w:r w:rsidRPr="00DF067B">
        <w:rPr>
          <w:rFonts w:ascii="David" w:hAnsi="David" w:cs="David" w:hint="cs"/>
          <w:rtl/>
        </w:rPr>
        <w:t>חרף זאת, מציין בית המשפט קמא את נכותו הרפואית הזמנית שעמדה למשך תקופה בשיעור 100% (עמ' 45, פסקה 46, ש' 15 לפסה"ד).</w:t>
      </w:r>
    </w:p>
    <w:p w14:paraId="4C2460FB" w14:textId="77777777" w:rsidR="00DF067B" w:rsidRPr="00DF067B" w:rsidRDefault="00DF067B" w:rsidP="00DF067B">
      <w:pPr>
        <w:pStyle w:val="a4"/>
        <w:rPr>
          <w:rFonts w:ascii="David" w:hAnsi="David" w:cs="David"/>
          <w:rtl/>
        </w:rPr>
      </w:pPr>
    </w:p>
    <w:p w14:paraId="1C1AD32F" w14:textId="77777777" w:rsidR="00DF067B" w:rsidRPr="00DF067B" w:rsidRDefault="00DF067B" w:rsidP="00DF067B">
      <w:pPr>
        <w:pStyle w:val="a4"/>
        <w:spacing w:line="360" w:lineRule="auto"/>
        <w:ind w:left="-2"/>
        <w:jc w:val="both"/>
        <w:rPr>
          <w:rFonts w:ascii="David" w:hAnsi="David" w:cs="David"/>
        </w:rPr>
      </w:pPr>
    </w:p>
    <w:p w14:paraId="383EE35F" w14:textId="0FE02D62" w:rsidR="003B7B9A" w:rsidRDefault="003B7B9A" w:rsidP="00FC6F1F">
      <w:pPr>
        <w:pStyle w:val="a4"/>
        <w:numPr>
          <w:ilvl w:val="0"/>
          <w:numId w:val="6"/>
        </w:numPr>
        <w:spacing w:line="360" w:lineRule="auto"/>
        <w:ind w:left="-2"/>
        <w:jc w:val="both"/>
        <w:rPr>
          <w:rFonts w:ascii="David" w:hAnsi="David" w:cs="David"/>
        </w:rPr>
      </w:pPr>
      <w:r>
        <w:rPr>
          <w:rFonts w:ascii="David" w:hAnsi="David" w:cs="David" w:hint="cs"/>
          <w:rtl/>
        </w:rPr>
        <w:t>הנתבעים בסיכומיהם לא התכחשו לנזקו של המשיב ולתאונה המצערת ו</w:t>
      </w:r>
      <w:r w:rsidR="00ED699A">
        <w:rPr>
          <w:rFonts w:ascii="David" w:hAnsi="David" w:cs="David" w:hint="cs"/>
          <w:rtl/>
        </w:rPr>
        <w:t>על אף שבשורה של פסקי דין נקבע בנכויות בשיעור זהה ואף גבוה מכך כי הניזוק לא איבד לחלוטין את כושרו להשתכר, הסכימו הנתבעים לחישוב לפי הפסד מלא. זהו לא דבר מובן מאליו ובית המשפט הנכבד קמא השתמש בכך כדי להכשיר מתן פיצוי עודף שלא כדין.</w:t>
      </w:r>
    </w:p>
    <w:p w14:paraId="1A87BB73" w14:textId="77777777" w:rsidR="00ED699A" w:rsidRPr="00ED699A" w:rsidRDefault="00ED699A" w:rsidP="00FC6F1F">
      <w:pPr>
        <w:pStyle w:val="a4"/>
        <w:ind w:left="-2"/>
        <w:rPr>
          <w:rFonts w:ascii="David" w:hAnsi="David" w:cs="David"/>
          <w:rtl/>
        </w:rPr>
      </w:pPr>
    </w:p>
    <w:p w14:paraId="6F7D157F" w14:textId="77777777" w:rsidR="00ED699A" w:rsidRDefault="00ED699A" w:rsidP="00FC6F1F">
      <w:pPr>
        <w:pStyle w:val="a4"/>
        <w:numPr>
          <w:ilvl w:val="0"/>
          <w:numId w:val="6"/>
        </w:numPr>
        <w:spacing w:line="360" w:lineRule="auto"/>
        <w:ind w:left="-2"/>
        <w:jc w:val="both"/>
        <w:rPr>
          <w:rFonts w:ascii="David" w:hAnsi="David" w:cs="David"/>
        </w:rPr>
      </w:pPr>
      <w:r w:rsidRPr="003B7B9A">
        <w:rPr>
          <w:rFonts w:ascii="David" w:hAnsi="David" w:cs="David" w:hint="cs"/>
          <w:rtl/>
        </w:rPr>
        <w:t xml:space="preserve">אין מחלוקת בדבר היות הפגיעה חמורה, אולם, כבר נקבע בשורה ארוכה של פסקי דין והלכות במקרים חמורים שבעתיים כושר השתכרות מסויים והדבר עולה בקנה אחד עם חובת המזיק להקטין את נזקיו (ראו ע"א 4431/17 </w:t>
      </w:r>
      <w:r w:rsidRPr="003B7B9A">
        <w:rPr>
          <w:rFonts w:ascii="David" w:hAnsi="David" w:cs="David" w:hint="cs"/>
          <w:b/>
          <w:bCs/>
          <w:rtl/>
        </w:rPr>
        <w:t>פלוני נ' פלוני</w:t>
      </w:r>
      <w:r w:rsidRPr="003B7B9A">
        <w:rPr>
          <w:rFonts w:ascii="David" w:hAnsi="David" w:cs="David" w:hint="cs"/>
          <w:rtl/>
        </w:rPr>
        <w:t>, פסקה 56 לפסק דינו של כב' נשיא בית המשפט העליון), חובה אשר הופרה על ידי המשיב כאמור.</w:t>
      </w:r>
    </w:p>
    <w:p w14:paraId="41B4D699" w14:textId="77777777" w:rsidR="00ED699A" w:rsidRPr="00ED699A" w:rsidRDefault="00ED699A" w:rsidP="00FC6F1F">
      <w:pPr>
        <w:spacing w:line="360" w:lineRule="auto"/>
        <w:ind w:left="-2"/>
        <w:jc w:val="both"/>
        <w:rPr>
          <w:rFonts w:ascii="David" w:hAnsi="David" w:cs="David"/>
        </w:rPr>
      </w:pPr>
    </w:p>
    <w:p w14:paraId="0A09F3EC" w14:textId="3CD2BD62" w:rsidR="00ED699A" w:rsidRPr="00A5775B" w:rsidRDefault="00ED699A" w:rsidP="00A5775B">
      <w:pPr>
        <w:pStyle w:val="a4"/>
        <w:numPr>
          <w:ilvl w:val="0"/>
          <w:numId w:val="6"/>
        </w:numPr>
        <w:spacing w:line="360" w:lineRule="auto"/>
        <w:ind w:left="-2"/>
        <w:jc w:val="both"/>
        <w:rPr>
          <w:rFonts w:ascii="David" w:hAnsi="David" w:cs="David"/>
        </w:rPr>
      </w:pPr>
      <w:r>
        <w:rPr>
          <w:rFonts w:ascii="David" w:hAnsi="David" w:cs="David" w:hint="cs"/>
          <w:rtl/>
        </w:rPr>
        <w:t>המערערים יטענו כי טעה בית המשפט הנכבד שלא זקף לחובת המשיב את העובדה שלא פעל להקטנת נזקו והיה עליו להפחית הפיצוי בשל הפרת חובתו זו.</w:t>
      </w:r>
      <w:r w:rsidR="00A5775B">
        <w:rPr>
          <w:rFonts w:ascii="David" w:hAnsi="David" w:cs="David" w:hint="cs"/>
          <w:rtl/>
        </w:rPr>
        <w:t xml:space="preserve"> </w:t>
      </w:r>
      <w:r w:rsidRPr="00A5775B">
        <w:rPr>
          <w:rFonts w:ascii="David" w:hAnsi="David" w:cs="David" w:hint="cs"/>
          <w:rtl/>
        </w:rPr>
        <w:t>המערערים יטענו כי בסיס שכרו הינו שכרו ערב התאונה משוערך וזו בלבד.</w:t>
      </w:r>
      <w:r w:rsidR="009B4F51" w:rsidRPr="00A5775B">
        <w:rPr>
          <w:rFonts w:ascii="David" w:hAnsi="David" w:cs="David" w:hint="cs"/>
          <w:rtl/>
        </w:rPr>
        <w:t xml:space="preserve"> </w:t>
      </w:r>
      <w:r w:rsidRPr="00A5775B">
        <w:rPr>
          <w:rFonts w:ascii="David" w:hAnsi="David" w:cs="David" w:hint="cs"/>
          <w:rtl/>
        </w:rPr>
        <w:t>בית המשפט הנכבד מתבקש לקבל את הערעור ולקבוע את שיעור נזקו הממוני כדלקמן:</w:t>
      </w:r>
    </w:p>
    <w:p w14:paraId="5BCE1E65" w14:textId="7EF8DA72" w:rsidR="003A7475" w:rsidRPr="00BA5B85" w:rsidRDefault="00ED699A" w:rsidP="00BA5B85">
      <w:pPr>
        <w:pStyle w:val="a4"/>
        <w:ind w:left="-2"/>
        <w:rPr>
          <w:rFonts w:ascii="David" w:hAnsi="David" w:cs="David"/>
          <w:b/>
          <w:bCs/>
          <w:rtl/>
        </w:rPr>
      </w:pPr>
      <w:r w:rsidRPr="0091434E">
        <w:rPr>
          <w:rFonts w:ascii="David" w:hAnsi="David" w:cs="David" w:hint="cs"/>
          <w:b/>
          <w:bCs/>
          <w:rtl/>
        </w:rPr>
        <w:t xml:space="preserve">הפסד שכר לעבר </w:t>
      </w:r>
      <w:r w:rsidRPr="0091434E">
        <w:rPr>
          <w:rFonts w:ascii="David" w:hAnsi="David" w:cs="David"/>
          <w:b/>
          <w:bCs/>
          <w:rtl/>
        </w:rPr>
        <w:t>–</w:t>
      </w:r>
      <w:r w:rsidRPr="0091434E">
        <w:rPr>
          <w:rFonts w:ascii="David" w:hAnsi="David" w:cs="David" w:hint="cs"/>
          <w:b/>
          <w:bCs/>
          <w:rtl/>
        </w:rPr>
        <w:t xml:space="preserve"> 5,</w:t>
      </w:r>
      <w:r w:rsidR="00BA5B85">
        <w:rPr>
          <w:rFonts w:ascii="David" w:hAnsi="David" w:cs="David" w:hint="cs"/>
          <w:b/>
          <w:bCs/>
          <w:rtl/>
        </w:rPr>
        <w:t>583</w:t>
      </w:r>
      <w:r w:rsidRPr="0091434E">
        <w:rPr>
          <w:rFonts w:ascii="David" w:hAnsi="David" w:cs="David" w:hint="cs"/>
          <w:b/>
          <w:bCs/>
          <w:rtl/>
        </w:rPr>
        <w:t xml:space="preserve"> ₪ </w:t>
      </w:r>
      <w:r w:rsidRPr="0091434E">
        <w:rPr>
          <w:rFonts w:ascii="David" w:hAnsi="David" w:cs="David"/>
          <w:b/>
          <w:bCs/>
        </w:rPr>
        <w:t>X</w:t>
      </w:r>
      <w:r w:rsidRPr="0091434E">
        <w:rPr>
          <w:rFonts w:ascii="David" w:hAnsi="David" w:cs="David" w:hint="cs"/>
          <w:b/>
          <w:bCs/>
          <w:rtl/>
        </w:rPr>
        <w:t xml:space="preserve"> 58 (חודשים) = </w:t>
      </w:r>
      <w:r w:rsidR="00BA5B85">
        <w:rPr>
          <w:rFonts w:ascii="David" w:hAnsi="David" w:cs="David" w:hint="cs"/>
          <w:b/>
          <w:bCs/>
          <w:rtl/>
        </w:rPr>
        <w:t>323</w:t>
      </w:r>
      <w:r w:rsidRPr="0091434E">
        <w:rPr>
          <w:rFonts w:ascii="David" w:hAnsi="David" w:cs="David" w:hint="cs"/>
          <w:b/>
          <w:bCs/>
          <w:rtl/>
        </w:rPr>
        <w:t>,</w:t>
      </w:r>
      <w:r w:rsidR="00BA5B85">
        <w:rPr>
          <w:rFonts w:ascii="David" w:hAnsi="David" w:cs="David" w:hint="cs"/>
          <w:b/>
          <w:bCs/>
          <w:rtl/>
        </w:rPr>
        <w:t>814</w:t>
      </w:r>
      <w:r w:rsidR="003A7475" w:rsidRPr="0091434E">
        <w:rPr>
          <w:rFonts w:ascii="David" w:hAnsi="David" w:cs="David" w:hint="cs"/>
          <w:b/>
          <w:bCs/>
          <w:rtl/>
        </w:rPr>
        <w:t xml:space="preserve"> ₪  </w:t>
      </w:r>
      <w:r w:rsidR="003A7475" w:rsidRPr="00BA5B85">
        <w:rPr>
          <w:rFonts w:ascii="David" w:hAnsi="David" w:cs="David" w:hint="cs"/>
          <w:b/>
          <w:bCs/>
          <w:rtl/>
        </w:rPr>
        <w:t xml:space="preserve">בתוספת ריבית </w:t>
      </w:r>
      <w:r w:rsidR="00BA5B85" w:rsidRPr="00BA5B85">
        <w:rPr>
          <w:rFonts w:ascii="David" w:hAnsi="David" w:cs="David" w:hint="cs"/>
          <w:b/>
          <w:bCs/>
          <w:rtl/>
        </w:rPr>
        <w:t>14</w:t>
      </w:r>
      <w:r w:rsidR="003A7475" w:rsidRPr="00BA5B85">
        <w:rPr>
          <w:rFonts w:ascii="David" w:hAnsi="David" w:cs="David" w:hint="cs"/>
          <w:b/>
          <w:bCs/>
          <w:rtl/>
        </w:rPr>
        <w:t>,</w:t>
      </w:r>
      <w:r w:rsidR="00BA5B85" w:rsidRPr="00BA5B85">
        <w:rPr>
          <w:rFonts w:ascii="David" w:hAnsi="David" w:cs="David" w:hint="cs"/>
          <w:b/>
          <w:bCs/>
          <w:rtl/>
        </w:rPr>
        <w:t>503</w:t>
      </w:r>
      <w:r w:rsidR="00BA5B85">
        <w:rPr>
          <w:rFonts w:ascii="David" w:hAnsi="David" w:cs="David" w:hint="cs"/>
          <w:b/>
          <w:bCs/>
          <w:rtl/>
        </w:rPr>
        <w:t xml:space="preserve"> ₪ </w:t>
      </w:r>
    </w:p>
    <w:p w14:paraId="4EDD547A" w14:textId="7E2F1BCC" w:rsidR="00ED699A" w:rsidRPr="0091434E" w:rsidRDefault="00ED699A" w:rsidP="00FC6F1F">
      <w:pPr>
        <w:pStyle w:val="a4"/>
        <w:ind w:left="-2"/>
        <w:rPr>
          <w:rFonts w:ascii="David" w:hAnsi="David" w:cs="David"/>
          <w:b/>
          <w:bCs/>
          <w:rtl/>
        </w:rPr>
      </w:pPr>
      <w:r w:rsidRPr="0091434E">
        <w:rPr>
          <w:rFonts w:ascii="David" w:hAnsi="David" w:cs="David" w:hint="cs"/>
          <w:b/>
          <w:bCs/>
          <w:rtl/>
        </w:rPr>
        <w:t xml:space="preserve">הפסד השתכרות לעתיד </w:t>
      </w:r>
      <w:r w:rsidRPr="0091434E">
        <w:rPr>
          <w:rFonts w:ascii="David" w:hAnsi="David" w:cs="David"/>
          <w:b/>
          <w:bCs/>
          <w:rtl/>
        </w:rPr>
        <w:t>–</w:t>
      </w:r>
      <w:r w:rsidRPr="0091434E">
        <w:rPr>
          <w:rFonts w:ascii="David" w:hAnsi="David" w:cs="David" w:hint="cs"/>
          <w:b/>
          <w:bCs/>
          <w:rtl/>
        </w:rPr>
        <w:t xml:space="preserve"> 5,</w:t>
      </w:r>
      <w:r w:rsidR="00BA5B85">
        <w:rPr>
          <w:rFonts w:ascii="David" w:hAnsi="David" w:cs="David" w:hint="cs"/>
          <w:b/>
          <w:bCs/>
          <w:rtl/>
        </w:rPr>
        <w:t>583</w:t>
      </w:r>
      <w:r w:rsidRPr="0091434E">
        <w:rPr>
          <w:rFonts w:ascii="David" w:hAnsi="David" w:cs="David" w:hint="cs"/>
          <w:b/>
          <w:bCs/>
          <w:rtl/>
        </w:rPr>
        <w:t xml:space="preserve"> ₪ </w:t>
      </w:r>
      <w:r w:rsidRPr="0091434E">
        <w:rPr>
          <w:rFonts w:ascii="David" w:hAnsi="David" w:cs="David"/>
          <w:b/>
          <w:bCs/>
        </w:rPr>
        <w:t>X</w:t>
      </w:r>
      <w:r w:rsidRPr="0091434E">
        <w:rPr>
          <w:rFonts w:ascii="David" w:hAnsi="David" w:cs="David" w:hint="cs"/>
          <w:b/>
          <w:bCs/>
          <w:rtl/>
        </w:rPr>
        <w:t xml:space="preserve"> 124.9 (מקדם היוון 150 חודשים)</w:t>
      </w:r>
      <w:r w:rsidR="003A7475" w:rsidRPr="0091434E">
        <w:rPr>
          <w:rFonts w:ascii="David" w:hAnsi="David" w:cs="David" w:hint="cs"/>
          <w:b/>
          <w:bCs/>
          <w:rtl/>
        </w:rPr>
        <w:t xml:space="preserve"> = </w:t>
      </w:r>
      <w:r w:rsidR="00BA5B85">
        <w:rPr>
          <w:rFonts w:ascii="David" w:hAnsi="David" w:cs="David" w:hint="cs"/>
          <w:b/>
          <w:bCs/>
          <w:rtl/>
        </w:rPr>
        <w:t>697</w:t>
      </w:r>
      <w:r w:rsidR="003A7475" w:rsidRPr="0091434E">
        <w:rPr>
          <w:rFonts w:ascii="David" w:hAnsi="David" w:cs="David" w:hint="cs"/>
          <w:b/>
          <w:bCs/>
          <w:rtl/>
        </w:rPr>
        <w:t>,</w:t>
      </w:r>
      <w:r w:rsidR="00BA5B85">
        <w:rPr>
          <w:rFonts w:ascii="David" w:hAnsi="David" w:cs="David" w:hint="cs"/>
          <w:b/>
          <w:bCs/>
          <w:rtl/>
        </w:rPr>
        <w:t>316</w:t>
      </w:r>
      <w:r w:rsidR="003A7475" w:rsidRPr="0091434E">
        <w:rPr>
          <w:rFonts w:ascii="David" w:hAnsi="David" w:cs="David" w:hint="cs"/>
          <w:b/>
          <w:bCs/>
          <w:rtl/>
        </w:rPr>
        <w:t xml:space="preserve"> ₪ </w:t>
      </w:r>
    </w:p>
    <w:p w14:paraId="0CDB49C2" w14:textId="05C0DC9D" w:rsidR="003A7475" w:rsidRPr="00BA5B85" w:rsidRDefault="003A7475" w:rsidP="00BA5B85">
      <w:pPr>
        <w:pStyle w:val="a4"/>
        <w:ind w:left="-2"/>
        <w:rPr>
          <w:rFonts w:ascii="David" w:hAnsi="David" w:cs="David"/>
          <w:b/>
          <w:bCs/>
          <w:rtl/>
        </w:rPr>
      </w:pPr>
      <w:r w:rsidRPr="0091434E">
        <w:rPr>
          <w:rFonts w:ascii="David" w:hAnsi="David" w:cs="David" w:hint="cs"/>
          <w:b/>
          <w:bCs/>
          <w:rtl/>
        </w:rPr>
        <w:t xml:space="preserve">סה"כ הפסדי שכר לעבר ולעתיד </w:t>
      </w:r>
      <w:r w:rsidRPr="0091434E">
        <w:rPr>
          <w:rFonts w:ascii="David" w:hAnsi="David" w:cs="David"/>
          <w:b/>
          <w:bCs/>
          <w:rtl/>
        </w:rPr>
        <w:t>–</w:t>
      </w:r>
      <w:r w:rsidRPr="0091434E">
        <w:rPr>
          <w:rFonts w:ascii="David" w:hAnsi="David" w:cs="David" w:hint="cs"/>
          <w:b/>
          <w:bCs/>
          <w:rtl/>
        </w:rPr>
        <w:t xml:space="preserve"> </w:t>
      </w:r>
      <w:r w:rsidRPr="00BA5B85">
        <w:rPr>
          <w:rFonts w:ascii="David" w:hAnsi="David" w:cs="David" w:hint="cs"/>
          <w:b/>
          <w:bCs/>
          <w:u w:val="single"/>
          <w:rtl/>
        </w:rPr>
        <w:t>1,</w:t>
      </w:r>
      <w:r w:rsidR="00BA5B85" w:rsidRPr="00BA5B85">
        <w:rPr>
          <w:rFonts w:ascii="David" w:hAnsi="David" w:cs="David" w:hint="cs"/>
          <w:b/>
          <w:bCs/>
          <w:u w:val="single"/>
          <w:rtl/>
        </w:rPr>
        <w:t>035</w:t>
      </w:r>
      <w:r w:rsidRPr="00BA5B85">
        <w:rPr>
          <w:rFonts w:ascii="David" w:hAnsi="David" w:cs="David" w:hint="cs"/>
          <w:b/>
          <w:bCs/>
          <w:u w:val="single"/>
          <w:rtl/>
        </w:rPr>
        <w:t>,</w:t>
      </w:r>
      <w:r w:rsidR="00BA5B85" w:rsidRPr="00BA5B85">
        <w:rPr>
          <w:rFonts w:ascii="David" w:hAnsi="David" w:cs="David" w:hint="cs"/>
          <w:b/>
          <w:bCs/>
          <w:u w:val="single"/>
          <w:rtl/>
        </w:rPr>
        <w:t>633</w:t>
      </w:r>
      <w:r w:rsidRPr="00BA5B85">
        <w:rPr>
          <w:rFonts w:ascii="David" w:hAnsi="David" w:cs="David" w:hint="cs"/>
          <w:b/>
          <w:bCs/>
          <w:u w:val="single"/>
          <w:rtl/>
        </w:rPr>
        <w:t xml:space="preserve"> ₪ </w:t>
      </w:r>
      <w:r w:rsidR="00BA5B85" w:rsidRPr="00BA5B85">
        <w:rPr>
          <w:rFonts w:ascii="David" w:hAnsi="David" w:cs="David" w:hint="cs"/>
          <w:b/>
          <w:bCs/>
          <w:u w:val="single"/>
          <w:rtl/>
        </w:rPr>
        <w:t xml:space="preserve"> </w:t>
      </w:r>
      <w:r w:rsidRPr="00BA5B85">
        <w:rPr>
          <w:rFonts w:ascii="David" w:hAnsi="David" w:cs="David" w:hint="cs"/>
          <w:b/>
          <w:bCs/>
          <w:rtl/>
        </w:rPr>
        <w:t xml:space="preserve">בתוספת הפסדי פנסיה </w:t>
      </w:r>
      <w:r w:rsidRPr="00BA5B85">
        <w:rPr>
          <w:rFonts w:ascii="David" w:hAnsi="David" w:cs="David"/>
          <w:b/>
          <w:bCs/>
          <w:rtl/>
        </w:rPr>
        <w:t>–</w:t>
      </w:r>
      <w:r w:rsidRPr="00BA5B85">
        <w:rPr>
          <w:rFonts w:ascii="David" w:hAnsi="David" w:cs="David" w:hint="cs"/>
          <w:b/>
          <w:bCs/>
          <w:rtl/>
        </w:rPr>
        <w:t xml:space="preserve"> </w:t>
      </w:r>
      <w:r w:rsidR="00BA5B85" w:rsidRPr="00BA5B85">
        <w:rPr>
          <w:rFonts w:ascii="David" w:hAnsi="David" w:cs="David" w:hint="cs"/>
          <w:b/>
          <w:bCs/>
          <w:u w:val="single"/>
          <w:rtl/>
        </w:rPr>
        <w:t>129</w:t>
      </w:r>
      <w:r w:rsidRPr="00BA5B85">
        <w:rPr>
          <w:rFonts w:ascii="David" w:hAnsi="David" w:cs="David" w:hint="cs"/>
          <w:b/>
          <w:bCs/>
          <w:u w:val="single"/>
          <w:rtl/>
        </w:rPr>
        <w:t>,</w:t>
      </w:r>
      <w:r w:rsidR="00BA5B85" w:rsidRPr="00BA5B85">
        <w:rPr>
          <w:rFonts w:ascii="David" w:hAnsi="David" w:cs="David" w:hint="cs"/>
          <w:b/>
          <w:bCs/>
          <w:u w:val="single"/>
          <w:rtl/>
        </w:rPr>
        <w:t>454</w:t>
      </w:r>
      <w:r w:rsidRPr="00BA5B85">
        <w:rPr>
          <w:rFonts w:ascii="David" w:hAnsi="David" w:cs="David" w:hint="cs"/>
          <w:b/>
          <w:bCs/>
          <w:u w:val="single"/>
          <w:rtl/>
        </w:rPr>
        <w:t xml:space="preserve"> ₪</w:t>
      </w:r>
      <w:r w:rsidRPr="00BA5B85">
        <w:rPr>
          <w:rFonts w:ascii="David" w:hAnsi="David" w:cs="David" w:hint="cs"/>
          <w:b/>
          <w:bCs/>
          <w:rtl/>
        </w:rPr>
        <w:t xml:space="preserve"> </w:t>
      </w:r>
    </w:p>
    <w:p w14:paraId="35856A7B" w14:textId="77777777" w:rsidR="003A7475" w:rsidRPr="00ED699A" w:rsidRDefault="003A7475" w:rsidP="00FC6F1F">
      <w:pPr>
        <w:pStyle w:val="a4"/>
        <w:ind w:left="-2"/>
        <w:rPr>
          <w:rFonts w:ascii="David" w:hAnsi="David" w:cs="David"/>
          <w:rtl/>
        </w:rPr>
      </w:pPr>
    </w:p>
    <w:p w14:paraId="54D92173" w14:textId="7FA2F5CA" w:rsidR="003A7475" w:rsidRDefault="003A7475" w:rsidP="00FC6F1F">
      <w:pPr>
        <w:spacing w:line="360" w:lineRule="auto"/>
        <w:ind w:left="-428"/>
        <w:jc w:val="both"/>
        <w:rPr>
          <w:rFonts w:ascii="David" w:hAnsi="David" w:cs="David"/>
          <w:b/>
          <w:bCs/>
          <w:sz w:val="32"/>
          <w:szCs w:val="32"/>
          <w:u w:val="single"/>
          <w:rtl/>
        </w:rPr>
      </w:pPr>
      <w:r w:rsidRPr="003A7475">
        <w:rPr>
          <w:rFonts w:ascii="David" w:hAnsi="David" w:cs="David" w:hint="cs"/>
          <w:b/>
          <w:bCs/>
          <w:sz w:val="32"/>
          <w:szCs w:val="32"/>
          <w:rtl/>
        </w:rPr>
        <w:t>ה.</w:t>
      </w:r>
      <w:r w:rsidRPr="003A7475">
        <w:rPr>
          <w:rFonts w:ascii="David" w:hAnsi="David" w:cs="David" w:hint="cs"/>
          <w:b/>
          <w:bCs/>
          <w:sz w:val="32"/>
          <w:szCs w:val="32"/>
          <w:u w:val="single"/>
          <w:rtl/>
        </w:rPr>
        <w:t xml:space="preserve"> עזרת צד ג'</w:t>
      </w:r>
    </w:p>
    <w:p w14:paraId="6A0F8A4B" w14:textId="1CCCEE75" w:rsidR="000B1BE4" w:rsidRDefault="000B1BE4" w:rsidP="00FC6F1F">
      <w:pPr>
        <w:pStyle w:val="a4"/>
        <w:numPr>
          <w:ilvl w:val="0"/>
          <w:numId w:val="6"/>
        </w:numPr>
        <w:spacing w:line="360" w:lineRule="auto"/>
        <w:ind w:left="-2"/>
        <w:jc w:val="both"/>
        <w:rPr>
          <w:rFonts w:ascii="David" w:hAnsi="David" w:cs="David"/>
        </w:rPr>
      </w:pPr>
      <w:r>
        <w:rPr>
          <w:rFonts w:ascii="David" w:hAnsi="David" w:cs="David" w:hint="cs"/>
          <w:rtl/>
        </w:rPr>
        <w:t>טעה בית המשפט הנכבד קמא בפסיקת פיצוי בסך של 500,000 ₪ בגין עזרת בני משפחה החורגת מהמקובל והרגיל שעה שלא הובאו ראיות כלל בנוגע לעזרה לה טוען המשיב (עמ' 16 פסקה 70 לפסה"ד).</w:t>
      </w:r>
    </w:p>
    <w:p w14:paraId="01340EFB" w14:textId="77777777" w:rsidR="000B1BE4" w:rsidRDefault="000B1BE4" w:rsidP="00FC6F1F">
      <w:pPr>
        <w:pStyle w:val="a4"/>
        <w:spacing w:line="360" w:lineRule="auto"/>
        <w:ind w:left="-2"/>
        <w:jc w:val="both"/>
        <w:rPr>
          <w:rFonts w:ascii="David" w:hAnsi="David" w:cs="David"/>
        </w:rPr>
      </w:pPr>
    </w:p>
    <w:p w14:paraId="6E4F4736" w14:textId="3E98D90C" w:rsidR="000B1BE4" w:rsidRPr="00DF067B" w:rsidRDefault="000B1BE4" w:rsidP="00DF067B">
      <w:pPr>
        <w:pStyle w:val="a4"/>
        <w:numPr>
          <w:ilvl w:val="0"/>
          <w:numId w:val="6"/>
        </w:numPr>
        <w:spacing w:line="360" w:lineRule="auto"/>
        <w:ind w:left="-2"/>
        <w:jc w:val="both"/>
        <w:rPr>
          <w:rFonts w:ascii="David" w:hAnsi="David" w:cs="David"/>
        </w:rPr>
      </w:pPr>
      <w:r>
        <w:rPr>
          <w:rFonts w:ascii="David" w:hAnsi="David" w:cs="David" w:hint="cs"/>
          <w:rtl/>
        </w:rPr>
        <w:t>אין מחלוקת בדבר נכותו של המשיב, אולם, פסיקת פיצוי בשיעור כה גבוה בראש נזק מבלי שהובאו ראיות כלל הינו שגוי בנסיבות.</w:t>
      </w:r>
      <w:r w:rsidR="00DF067B">
        <w:rPr>
          <w:rFonts w:ascii="David" w:hAnsi="David" w:cs="David" w:hint="cs"/>
          <w:rtl/>
        </w:rPr>
        <w:t xml:space="preserve"> </w:t>
      </w:r>
      <w:r w:rsidRPr="00DF067B">
        <w:rPr>
          <w:rFonts w:ascii="David" w:hAnsi="David" w:cs="David" w:hint="cs"/>
          <w:rtl/>
        </w:rPr>
        <w:t>יצויין כי המשיב מקבל תגמולי קצבה מיוחדת מטעם המוסד לביטוח לאומי ולא הוכח כי פנה בתביעה למתן גמלאות/קצבאות נוספות להן הוא זכאי מכח היותו נפגע עבודה</w:t>
      </w:r>
    </w:p>
    <w:p w14:paraId="14970D08" w14:textId="77777777" w:rsidR="000B1BE4" w:rsidRPr="000B1BE4" w:rsidRDefault="000B1BE4" w:rsidP="00FC6F1F">
      <w:pPr>
        <w:pStyle w:val="a4"/>
        <w:ind w:left="-2"/>
        <w:rPr>
          <w:rFonts w:ascii="David" w:hAnsi="David" w:cs="David"/>
          <w:rtl/>
        </w:rPr>
      </w:pPr>
    </w:p>
    <w:p w14:paraId="08072159" w14:textId="6664487F" w:rsidR="000B1BE4" w:rsidRDefault="000B1BE4" w:rsidP="00FC6F1F">
      <w:pPr>
        <w:pStyle w:val="a4"/>
        <w:numPr>
          <w:ilvl w:val="0"/>
          <w:numId w:val="6"/>
        </w:numPr>
        <w:spacing w:line="360" w:lineRule="auto"/>
        <w:ind w:left="-2"/>
        <w:jc w:val="both"/>
        <w:rPr>
          <w:rFonts w:ascii="David" w:hAnsi="David" w:cs="David"/>
        </w:rPr>
      </w:pPr>
      <w:r>
        <w:rPr>
          <w:rFonts w:ascii="David" w:hAnsi="David" w:cs="David" w:hint="cs"/>
          <w:rtl/>
        </w:rPr>
        <w:t xml:space="preserve">המשיב אשר טוען לעזרה כול היה להביא מי מבני משפחתו בתמיכה לטענותיו בגין העזרה המוגברת לה הוא טוען, משלא הובא ולו עד אחד ומשלא הוצגה ולו ראיה אחת יהיה זה צודק וראוי להפחית את הפיצוי ולהעמידו בסך של </w:t>
      </w:r>
      <w:r w:rsidR="00A5775B">
        <w:rPr>
          <w:rFonts w:ascii="David" w:hAnsi="David" w:cs="David" w:hint="cs"/>
          <w:rtl/>
        </w:rPr>
        <w:t>200</w:t>
      </w:r>
      <w:r>
        <w:rPr>
          <w:rFonts w:ascii="David" w:hAnsi="David" w:cs="David" w:hint="cs"/>
          <w:rtl/>
        </w:rPr>
        <w:t>,000 ₪.</w:t>
      </w:r>
    </w:p>
    <w:p w14:paraId="6E75D78C" w14:textId="77777777" w:rsidR="000B1BE4" w:rsidRPr="000B1BE4" w:rsidRDefault="000B1BE4" w:rsidP="00FC6F1F">
      <w:pPr>
        <w:pStyle w:val="a4"/>
        <w:spacing w:line="360" w:lineRule="auto"/>
        <w:ind w:left="-2"/>
        <w:jc w:val="both"/>
        <w:rPr>
          <w:rFonts w:ascii="David" w:hAnsi="David" w:cs="David"/>
          <w:rtl/>
        </w:rPr>
      </w:pPr>
    </w:p>
    <w:p w14:paraId="6995F17F" w14:textId="31B534FF" w:rsidR="003A7475" w:rsidRPr="003A7475" w:rsidRDefault="003A7475" w:rsidP="00FC6F1F">
      <w:pPr>
        <w:spacing w:line="360" w:lineRule="auto"/>
        <w:ind w:left="-428"/>
        <w:jc w:val="both"/>
        <w:rPr>
          <w:rFonts w:ascii="David" w:hAnsi="David" w:cs="David"/>
          <w:b/>
          <w:bCs/>
          <w:sz w:val="32"/>
          <w:szCs w:val="32"/>
          <w:u w:val="single"/>
        </w:rPr>
      </w:pPr>
      <w:r w:rsidRPr="003A7475">
        <w:rPr>
          <w:rFonts w:ascii="David" w:hAnsi="David" w:cs="David" w:hint="cs"/>
          <w:b/>
          <w:bCs/>
          <w:sz w:val="32"/>
          <w:szCs w:val="32"/>
          <w:rtl/>
        </w:rPr>
        <w:t>ו.</w:t>
      </w:r>
      <w:r>
        <w:rPr>
          <w:rFonts w:ascii="David" w:hAnsi="David" w:cs="David" w:hint="cs"/>
          <w:b/>
          <w:bCs/>
          <w:sz w:val="32"/>
          <w:szCs w:val="32"/>
          <w:u w:val="single"/>
          <w:rtl/>
        </w:rPr>
        <w:t xml:space="preserve"> הוצאות רפואיות נסיעות והתאמת רכב</w:t>
      </w:r>
    </w:p>
    <w:p w14:paraId="3AA34941" w14:textId="1B87F494" w:rsidR="000B1BE4" w:rsidRDefault="000B1BE4" w:rsidP="00FC6F1F">
      <w:pPr>
        <w:pStyle w:val="a4"/>
        <w:numPr>
          <w:ilvl w:val="0"/>
          <w:numId w:val="6"/>
        </w:numPr>
        <w:spacing w:line="360" w:lineRule="auto"/>
        <w:ind w:left="-2"/>
        <w:jc w:val="both"/>
        <w:rPr>
          <w:rFonts w:ascii="David" w:hAnsi="David" w:cs="David"/>
        </w:rPr>
      </w:pPr>
      <w:r w:rsidRPr="00EE5A31">
        <w:rPr>
          <w:rFonts w:ascii="David" w:hAnsi="David" w:cs="David" w:hint="cs"/>
          <w:rtl/>
        </w:rPr>
        <w:t>טעה בית המשפט הנכבד קמא בקובעו כי המשיב זכאי לפיצוי בסך 100,000 ₪ בגין התאמות רכב, ואביזרים מותאמים שונים (עמ' 18 פסקה 79 לפסק הדין) מבלי שהוצגה ולו ראשית ראיה לצורך באמור.</w:t>
      </w:r>
    </w:p>
    <w:p w14:paraId="1C475D48" w14:textId="77777777" w:rsidR="00EE5A31" w:rsidRDefault="00EE5A31" w:rsidP="00FC6F1F">
      <w:pPr>
        <w:pStyle w:val="a4"/>
        <w:spacing w:line="360" w:lineRule="auto"/>
        <w:ind w:left="-2"/>
        <w:jc w:val="both"/>
        <w:rPr>
          <w:rFonts w:ascii="David" w:hAnsi="David" w:cs="David"/>
        </w:rPr>
      </w:pPr>
    </w:p>
    <w:p w14:paraId="183D0B31" w14:textId="2B2EBA06" w:rsidR="000B1BE4" w:rsidRDefault="002F3D17" w:rsidP="00FC6F1F">
      <w:pPr>
        <w:pStyle w:val="a4"/>
        <w:numPr>
          <w:ilvl w:val="0"/>
          <w:numId w:val="6"/>
        </w:numPr>
        <w:spacing w:line="360" w:lineRule="auto"/>
        <w:ind w:left="-2"/>
        <w:jc w:val="both"/>
        <w:rPr>
          <w:rFonts w:ascii="David" w:hAnsi="David" w:cs="David"/>
        </w:rPr>
      </w:pPr>
      <w:r w:rsidRPr="00EE5A31">
        <w:rPr>
          <w:rFonts w:ascii="David" w:hAnsi="David" w:cs="David" w:hint="cs"/>
          <w:rtl/>
        </w:rPr>
        <w:t>בהיותו נפגע עבודה זכאי התובע למימון טיפולים ואביזרים באמצעות המל"ל, כך נקבע גם במסגרת פסק דין ביהמ"ש הנכבד קמא (עמ' 17, פסקה 77 לפסה"ד).</w:t>
      </w:r>
    </w:p>
    <w:p w14:paraId="3864EA13" w14:textId="77777777" w:rsidR="00EE5A31" w:rsidRPr="00EE5A31" w:rsidRDefault="00EE5A31" w:rsidP="00FC6F1F">
      <w:pPr>
        <w:spacing w:line="360" w:lineRule="auto"/>
        <w:ind w:left="-2"/>
        <w:jc w:val="both"/>
        <w:rPr>
          <w:rFonts w:ascii="David" w:hAnsi="David" w:cs="David"/>
        </w:rPr>
      </w:pPr>
    </w:p>
    <w:p w14:paraId="61E53559" w14:textId="3DF4C00E" w:rsidR="002F3D17" w:rsidRDefault="002F3D17" w:rsidP="00FC6F1F">
      <w:pPr>
        <w:pStyle w:val="a4"/>
        <w:numPr>
          <w:ilvl w:val="0"/>
          <w:numId w:val="6"/>
        </w:numPr>
        <w:spacing w:line="360" w:lineRule="auto"/>
        <w:ind w:left="-2"/>
        <w:jc w:val="both"/>
        <w:rPr>
          <w:rFonts w:ascii="David" w:hAnsi="David" w:cs="David"/>
        </w:rPr>
      </w:pPr>
      <w:r w:rsidRPr="00EE5A31">
        <w:rPr>
          <w:rFonts w:ascii="David" w:hAnsi="David" w:cs="David" w:hint="cs"/>
          <w:rtl/>
        </w:rPr>
        <w:lastRenderedPageBreak/>
        <w:t xml:space="preserve">בית המשפט הנכבד קמא קובע כי המשיב לא הציג חוות דעת שיקומית, אולם, אין מקום לפיצוי בגין תותבות, שהרי זכאותה ניתנת ע"י המל"ל בין כך וכך ונקבע שאין מקום לפצותו בגין דא (עמ' 17, פסקה 78 לפסה"ד). </w:t>
      </w:r>
      <w:r w:rsidR="00E5695C" w:rsidRPr="00EE5A31">
        <w:rPr>
          <w:rFonts w:ascii="David" w:hAnsi="David" w:cs="David" w:hint="cs"/>
          <w:rtl/>
        </w:rPr>
        <w:t>אולם, בכך מסתפק בית המשפט הנכבד ובוחר שלא להתייחס לעובדה שהמשיב לא בחר לעשות כן ולכך שלמעשה לא פעל להקטנת נזקו ובכך היה האמיר את הפיצוי לו הוא זכאי על חשבון המערערים בניגוד לדין.</w:t>
      </w:r>
    </w:p>
    <w:p w14:paraId="23AB1A9A" w14:textId="77777777" w:rsidR="00EE5A31" w:rsidRPr="00EE5A31" w:rsidRDefault="00EE5A31" w:rsidP="00FC6F1F">
      <w:pPr>
        <w:spacing w:line="360" w:lineRule="auto"/>
        <w:ind w:left="-2"/>
        <w:jc w:val="both"/>
        <w:rPr>
          <w:rFonts w:ascii="David" w:hAnsi="David" w:cs="David"/>
        </w:rPr>
      </w:pPr>
    </w:p>
    <w:p w14:paraId="3F6F856D" w14:textId="5EDE7137" w:rsidR="000A150E" w:rsidRDefault="000A150E" w:rsidP="00FC6F1F">
      <w:pPr>
        <w:pStyle w:val="a4"/>
        <w:numPr>
          <w:ilvl w:val="0"/>
          <w:numId w:val="6"/>
        </w:numPr>
        <w:spacing w:line="360" w:lineRule="auto"/>
        <w:ind w:left="-2"/>
        <w:jc w:val="both"/>
        <w:rPr>
          <w:rFonts w:ascii="David" w:hAnsi="David" w:cs="David"/>
        </w:rPr>
      </w:pPr>
      <w:r w:rsidRPr="00EE5A31">
        <w:rPr>
          <w:rFonts w:ascii="David" w:hAnsi="David" w:cs="David" w:hint="cs"/>
          <w:rtl/>
        </w:rPr>
        <w:t>המשיב העיד כי היה לו רישיון נהיגה למונית והוא לא טרח להיבדק ואף לא טיפל בחידוש רישיון הנהיגה האישי מכיוון "שהוא "לא צריך את זה" ואינו יכול לנהוג" (עמ' 14, פסקה 59 לפסה"ד) כמובן שמדובר בהודאת בעל דין המעידה על הפרת החובה להקטין את נזקו. הדבר לא מקבל ביטוי בפסק הדין וכפי שיפורט להלן לא משפיע גם על פסיקת פיצוי בגין נסיעות.</w:t>
      </w:r>
    </w:p>
    <w:p w14:paraId="466594E9" w14:textId="77777777" w:rsidR="00EE5A31" w:rsidRPr="00EE5A31" w:rsidRDefault="00EE5A31" w:rsidP="00FC6F1F">
      <w:pPr>
        <w:pStyle w:val="a4"/>
        <w:ind w:left="-2"/>
        <w:rPr>
          <w:rFonts w:ascii="David" w:hAnsi="David" w:cs="David"/>
          <w:rtl/>
        </w:rPr>
      </w:pPr>
    </w:p>
    <w:p w14:paraId="45256377" w14:textId="67A820FF" w:rsidR="00EE5A31" w:rsidRPr="00EE5A31" w:rsidRDefault="00EE5A31" w:rsidP="00FC6F1F">
      <w:pPr>
        <w:pStyle w:val="a4"/>
        <w:numPr>
          <w:ilvl w:val="0"/>
          <w:numId w:val="6"/>
        </w:numPr>
        <w:spacing w:line="360" w:lineRule="auto"/>
        <w:ind w:left="-2"/>
        <w:jc w:val="both"/>
        <w:rPr>
          <w:rFonts w:ascii="David" w:hAnsi="David" w:cs="David"/>
        </w:rPr>
      </w:pPr>
      <w:r>
        <w:rPr>
          <w:rFonts w:ascii="David" w:hAnsi="David" w:cs="David" w:hint="cs"/>
          <w:rtl/>
        </w:rPr>
        <w:t xml:space="preserve">המערערים יטענו כי פיצוי זה ניתן בצורה שרירותית לגמרי ללא צורך וללא הנמקה על הרף הגבוה ובנסיבות אלה, בהיותו נפגע עבודה הזכאי להחזרים מלאים ובשים לב לזכויות הניתנות לו מכח חוק, יש מקום להפחית את הפיצוי שנפסק כאמור ולהעמידו בסך של 30,000 ₪ </w:t>
      </w:r>
    </w:p>
    <w:p w14:paraId="0859ACEF" w14:textId="59DDC751" w:rsidR="008B6E69" w:rsidRPr="00EE5A31" w:rsidRDefault="008B6E69" w:rsidP="00FC6F1F">
      <w:pPr>
        <w:pStyle w:val="a4"/>
        <w:numPr>
          <w:ilvl w:val="1"/>
          <w:numId w:val="9"/>
        </w:numPr>
        <w:spacing w:line="360" w:lineRule="auto"/>
        <w:ind w:left="-2"/>
        <w:rPr>
          <w:rFonts w:ascii="David" w:hAnsi="David" w:cs="David"/>
          <w:b/>
          <w:bCs/>
          <w:sz w:val="32"/>
          <w:szCs w:val="32"/>
          <w:u w:val="single"/>
          <w:rtl/>
        </w:rPr>
      </w:pPr>
      <w:r w:rsidRPr="00EE5A31">
        <w:rPr>
          <w:rFonts w:ascii="David" w:hAnsi="David" w:cs="David" w:hint="cs"/>
          <w:b/>
          <w:bCs/>
          <w:sz w:val="32"/>
          <w:szCs w:val="32"/>
          <w:u w:val="single"/>
          <w:rtl/>
        </w:rPr>
        <w:t>אשם תורם</w:t>
      </w:r>
    </w:p>
    <w:p w14:paraId="47C823B8" w14:textId="0FD62E0F" w:rsidR="008B6E69" w:rsidRPr="00A5775B" w:rsidRDefault="005E444C" w:rsidP="00A5775B">
      <w:pPr>
        <w:pStyle w:val="a4"/>
        <w:numPr>
          <w:ilvl w:val="0"/>
          <w:numId w:val="6"/>
        </w:numPr>
        <w:spacing w:line="360" w:lineRule="auto"/>
        <w:ind w:left="-2" w:right="113"/>
        <w:jc w:val="both"/>
        <w:rPr>
          <w:rFonts w:ascii="David" w:hAnsi="David" w:cs="David"/>
        </w:rPr>
      </w:pPr>
      <w:r>
        <w:rPr>
          <w:rFonts w:ascii="David" w:hAnsi="David" w:cs="David" w:hint="cs"/>
          <w:rtl/>
        </w:rPr>
        <w:t xml:space="preserve">טעה בית המשפט הנכבד קמא שלא קבע כי יש באשמו של המשיב כדי לתרום לנזק תרומה משמעותית בהתאם להוראות סעיף 68 לפקודת הנזיקין [נוסח חדש] (ראו בעניין זה: רע"א 2809/18 </w:t>
      </w:r>
      <w:r w:rsidRPr="0091434E">
        <w:rPr>
          <w:rFonts w:ascii="David" w:hAnsi="David" w:cs="David" w:hint="cs"/>
          <w:b/>
          <w:bCs/>
          <w:rtl/>
        </w:rPr>
        <w:t>קסברי נ' רוזן</w:t>
      </w:r>
      <w:r>
        <w:rPr>
          <w:rFonts w:ascii="David" w:hAnsi="David" w:cs="David" w:hint="cs"/>
          <w:rtl/>
        </w:rPr>
        <w:t xml:space="preserve"> (פורסם בנבו)).</w:t>
      </w:r>
      <w:r w:rsidR="00A5775B">
        <w:rPr>
          <w:rFonts w:ascii="David" w:hAnsi="David" w:cs="David" w:hint="cs"/>
          <w:rtl/>
        </w:rPr>
        <w:t xml:space="preserve"> </w:t>
      </w:r>
      <w:r w:rsidR="00A07922" w:rsidRPr="00A5775B">
        <w:rPr>
          <w:rFonts w:ascii="David" w:hAnsi="David" w:cs="David" w:hint="cs"/>
          <w:rtl/>
        </w:rPr>
        <w:t>נזקו של המשיב</w:t>
      </w:r>
      <w:r w:rsidR="00740819" w:rsidRPr="00A5775B">
        <w:rPr>
          <w:rFonts w:ascii="David" w:hAnsi="David" w:cs="David" w:hint="cs"/>
          <w:rtl/>
        </w:rPr>
        <w:t xml:space="preserve"> </w:t>
      </w:r>
      <w:r w:rsidR="00A07922" w:rsidRPr="00A5775B">
        <w:rPr>
          <w:rFonts w:ascii="David" w:hAnsi="David" w:cs="David" w:hint="cs"/>
          <w:rtl/>
        </w:rPr>
        <w:t>הינו עקב אשמו</w:t>
      </w:r>
      <w:r w:rsidR="000A150E" w:rsidRPr="00A5775B">
        <w:rPr>
          <w:rFonts w:ascii="David" w:hAnsi="David" w:cs="David" w:hint="cs"/>
          <w:rtl/>
        </w:rPr>
        <w:t xml:space="preserve"> בהינתן שהמשיב היה העובד הותיק ביותר והגורם שאחראי על עבודה</w:t>
      </w:r>
      <w:r w:rsidR="00051801" w:rsidRPr="00A5775B">
        <w:rPr>
          <w:rFonts w:ascii="David" w:hAnsi="David" w:cs="David" w:hint="cs"/>
          <w:rtl/>
        </w:rPr>
        <w:t>, תפעול ותיקון המכונה עליה עבד וממנה נפגע.</w:t>
      </w:r>
      <w:r w:rsidR="00A5775B">
        <w:rPr>
          <w:rFonts w:ascii="David" w:hAnsi="David" w:cs="David" w:hint="cs"/>
          <w:rtl/>
        </w:rPr>
        <w:t xml:space="preserve"> </w:t>
      </w:r>
      <w:r w:rsidR="000A150E" w:rsidRPr="00A5775B">
        <w:rPr>
          <w:rFonts w:ascii="David" w:hAnsi="David" w:cs="David" w:hint="cs"/>
          <w:rtl/>
        </w:rPr>
        <w:t xml:space="preserve">במועד התאונה היה המשיב העובד הותיק ביותר וזו הייתה שנתו ה </w:t>
      </w:r>
      <w:r w:rsidR="000A150E" w:rsidRPr="00A5775B">
        <w:rPr>
          <w:rFonts w:ascii="David" w:hAnsi="David" w:cs="David"/>
          <w:rtl/>
        </w:rPr>
        <w:t>–</w:t>
      </w:r>
      <w:r w:rsidR="000A150E" w:rsidRPr="00A5775B">
        <w:rPr>
          <w:rFonts w:ascii="David" w:hAnsi="David" w:cs="David" w:hint="cs"/>
          <w:rtl/>
        </w:rPr>
        <w:t xml:space="preserve"> 14 בנתבעת 1 (עמ' 3 לפרוטוקול, שורות 8 </w:t>
      </w:r>
      <w:r w:rsidR="000A150E" w:rsidRPr="00A5775B">
        <w:rPr>
          <w:rFonts w:ascii="David" w:hAnsi="David" w:cs="David"/>
          <w:rtl/>
        </w:rPr>
        <w:t>–</w:t>
      </w:r>
      <w:r w:rsidR="000A150E" w:rsidRPr="00A5775B">
        <w:rPr>
          <w:rFonts w:ascii="David" w:hAnsi="David" w:cs="David" w:hint="cs"/>
          <w:rtl/>
        </w:rPr>
        <w:t xml:space="preserve"> 15)</w:t>
      </w:r>
      <w:r w:rsidR="00051801" w:rsidRPr="00A5775B">
        <w:rPr>
          <w:rFonts w:ascii="David" w:hAnsi="David" w:cs="David" w:hint="cs"/>
          <w:rtl/>
        </w:rPr>
        <w:t>.</w:t>
      </w:r>
    </w:p>
    <w:p w14:paraId="5B4A1EAA" w14:textId="77777777" w:rsidR="0091434E" w:rsidRDefault="0091434E" w:rsidP="00FC6F1F">
      <w:pPr>
        <w:pStyle w:val="a4"/>
        <w:spacing w:line="360" w:lineRule="auto"/>
        <w:ind w:left="-2" w:right="113"/>
        <w:jc w:val="both"/>
        <w:rPr>
          <w:rFonts w:ascii="David" w:hAnsi="David" w:cs="David"/>
        </w:rPr>
      </w:pPr>
    </w:p>
    <w:p w14:paraId="473161E9" w14:textId="77777777" w:rsidR="00051801" w:rsidRDefault="00C80FCC" w:rsidP="00FC6F1F">
      <w:pPr>
        <w:pStyle w:val="a4"/>
        <w:numPr>
          <w:ilvl w:val="0"/>
          <w:numId w:val="6"/>
        </w:numPr>
        <w:spacing w:line="360" w:lineRule="auto"/>
        <w:ind w:left="-2" w:right="113" w:hanging="425"/>
        <w:jc w:val="both"/>
        <w:rPr>
          <w:rFonts w:ascii="David" w:hAnsi="David" w:cs="David"/>
        </w:rPr>
      </w:pPr>
      <w:r>
        <w:rPr>
          <w:rFonts w:ascii="David" w:hAnsi="David" w:cs="David" w:hint="cs"/>
          <w:rtl/>
        </w:rPr>
        <w:t>בית המשפט הנכבד קמא שוגה בקביעתו ביחס למעמדו של המשיב (עמ' 5 פסקה 24 לפסה"ד) ו</w:t>
      </w:r>
      <w:r w:rsidR="00051801">
        <w:rPr>
          <w:rFonts w:ascii="David" w:hAnsi="David" w:cs="David" w:hint="cs"/>
          <w:rtl/>
        </w:rPr>
        <w:t>מגיע למסקנה שגויה לפיה,</w:t>
      </w:r>
      <w:r>
        <w:rPr>
          <w:rFonts w:ascii="David" w:hAnsi="David" w:cs="David" w:hint="cs"/>
          <w:rtl/>
        </w:rPr>
        <w:t xml:space="preserve"> משלא הוכח שהוא בתפקיד ניהולי ו/או בכיר עסקינן ב"...פועל ייצור מן השורה." (עמ' 5, פסקה 24 שורה 11, שם). </w:t>
      </w:r>
    </w:p>
    <w:p w14:paraId="3140D30F" w14:textId="77777777" w:rsidR="005E444C" w:rsidRPr="005E444C" w:rsidRDefault="005E444C" w:rsidP="005E444C">
      <w:pPr>
        <w:spacing w:line="360" w:lineRule="auto"/>
        <w:ind w:right="113"/>
        <w:jc w:val="both"/>
        <w:rPr>
          <w:rFonts w:ascii="David" w:hAnsi="David" w:cs="David"/>
        </w:rPr>
      </w:pPr>
    </w:p>
    <w:p w14:paraId="73A431F8" w14:textId="1C0FBBF4" w:rsidR="00C80FCC" w:rsidRPr="009B4F51" w:rsidRDefault="00051801" w:rsidP="009B4F51">
      <w:pPr>
        <w:pStyle w:val="a4"/>
        <w:numPr>
          <w:ilvl w:val="0"/>
          <w:numId w:val="6"/>
        </w:numPr>
        <w:spacing w:line="360" w:lineRule="auto"/>
        <w:ind w:left="-2" w:right="113" w:hanging="425"/>
        <w:jc w:val="both"/>
        <w:rPr>
          <w:rFonts w:ascii="David" w:hAnsi="David" w:cs="David"/>
        </w:rPr>
      </w:pPr>
      <w:r>
        <w:rPr>
          <w:rFonts w:ascii="David" w:hAnsi="David" w:cs="David" w:hint="cs"/>
          <w:rtl/>
        </w:rPr>
        <w:t xml:space="preserve">בית המשפט הנכבד קמא שגה בניתוח הסיטואציה ובמסקנה אליה הגיע בהינתן העובדות שהיו בפניו </w:t>
      </w:r>
      <w:r w:rsidR="009B4F51">
        <w:rPr>
          <w:rFonts w:ascii="David" w:hAnsi="David" w:cs="David" w:hint="cs"/>
          <w:rtl/>
        </w:rPr>
        <w:t xml:space="preserve">. </w:t>
      </w:r>
      <w:r w:rsidR="00C80FCC" w:rsidRPr="009B4F51">
        <w:rPr>
          <w:rFonts w:ascii="David" w:hAnsi="David" w:cs="David" w:hint="cs"/>
          <w:rtl/>
        </w:rPr>
        <w:t>ס' 68 לפקודת הנזיקין והפסיקה השלטת לא קובע</w:t>
      </w:r>
      <w:r w:rsidR="009B4F51">
        <w:rPr>
          <w:rFonts w:ascii="David" w:hAnsi="David" w:cs="David" w:hint="cs"/>
          <w:rtl/>
        </w:rPr>
        <w:t>ים</w:t>
      </w:r>
      <w:r w:rsidR="00C80FCC" w:rsidRPr="009B4F51">
        <w:rPr>
          <w:rFonts w:ascii="David" w:hAnsi="David" w:cs="David" w:hint="cs"/>
          <w:rtl/>
        </w:rPr>
        <w:t xml:space="preserve"> דיכוטמיה של מנהלים אל מול מנוהלים. עיון בסעיף 68 לא יגלה ולו רמז למעמדו של הניזוק ביחס למזיק.</w:t>
      </w:r>
    </w:p>
    <w:p w14:paraId="5C4C114C" w14:textId="77777777" w:rsidR="0091434E" w:rsidRDefault="0091434E" w:rsidP="00FC6F1F">
      <w:pPr>
        <w:pStyle w:val="a4"/>
        <w:spacing w:line="360" w:lineRule="auto"/>
        <w:ind w:left="-2" w:right="113"/>
        <w:jc w:val="both"/>
        <w:rPr>
          <w:rFonts w:ascii="David" w:hAnsi="David" w:cs="David"/>
        </w:rPr>
      </w:pPr>
    </w:p>
    <w:p w14:paraId="5BC350AF" w14:textId="2B5648DB" w:rsidR="00C80FCC" w:rsidRDefault="00C80FCC" w:rsidP="00FC6F1F">
      <w:pPr>
        <w:pStyle w:val="a4"/>
        <w:numPr>
          <w:ilvl w:val="0"/>
          <w:numId w:val="6"/>
        </w:numPr>
        <w:spacing w:line="360" w:lineRule="auto"/>
        <w:ind w:left="-2" w:right="113" w:hanging="425"/>
        <w:jc w:val="both"/>
        <w:rPr>
          <w:rFonts w:ascii="David" w:hAnsi="David" w:cs="David"/>
        </w:rPr>
      </w:pPr>
      <w:r>
        <w:rPr>
          <w:rFonts w:ascii="David" w:hAnsi="David" w:cs="David" w:hint="cs"/>
          <w:rtl/>
        </w:rPr>
        <w:t>הפסיקה אליה התייחס ביהמ"ש הנכבד קמא אינה קובעת כי יש למחול לניזוק על אשמו. ההלכה מבחינה בין מקרים בהם יש באשמו של הניזוק קשר לנזק או אם לאו וקובעת את מידת האשם במקרים שונים בהם קשה יהיה לקבוע כי בנסיבות ספציפיות יהיה באשמו של הניזוק כדי להביא להפחתה משיעור אש</w:t>
      </w:r>
      <w:r w:rsidR="00A5775B">
        <w:rPr>
          <w:rFonts w:ascii="David" w:hAnsi="David" w:cs="David" w:hint="cs"/>
          <w:rtl/>
        </w:rPr>
        <w:t xml:space="preserve">ם </w:t>
      </w:r>
      <w:r>
        <w:rPr>
          <w:rFonts w:ascii="David" w:hAnsi="David" w:cs="David" w:hint="cs"/>
          <w:rtl/>
        </w:rPr>
        <w:t>המזיק.</w:t>
      </w:r>
    </w:p>
    <w:p w14:paraId="7B25FEEA" w14:textId="77777777" w:rsidR="0091434E" w:rsidRDefault="0091434E" w:rsidP="00FC6F1F">
      <w:pPr>
        <w:pStyle w:val="a4"/>
        <w:spacing w:line="360" w:lineRule="auto"/>
        <w:ind w:left="-2" w:right="113"/>
        <w:jc w:val="both"/>
        <w:rPr>
          <w:rFonts w:ascii="David" w:hAnsi="David" w:cs="David"/>
        </w:rPr>
      </w:pPr>
    </w:p>
    <w:p w14:paraId="648504BB" w14:textId="2407C9BC" w:rsidR="007A1361" w:rsidRPr="009B4F51" w:rsidRDefault="00A5775B" w:rsidP="009B4F51">
      <w:pPr>
        <w:pStyle w:val="a4"/>
        <w:numPr>
          <w:ilvl w:val="0"/>
          <w:numId w:val="6"/>
        </w:numPr>
        <w:spacing w:line="360" w:lineRule="auto"/>
        <w:ind w:left="-2" w:right="113" w:hanging="425"/>
        <w:jc w:val="both"/>
        <w:rPr>
          <w:rFonts w:ascii="David" w:hAnsi="David" w:cs="David"/>
        </w:rPr>
      </w:pPr>
      <w:r>
        <w:rPr>
          <w:rFonts w:ascii="David" w:hAnsi="David" w:cs="David" w:hint="cs"/>
          <w:rtl/>
        </w:rPr>
        <w:t>הקביעה</w:t>
      </w:r>
      <w:r w:rsidR="007A1361">
        <w:rPr>
          <w:rFonts w:ascii="David" w:hAnsi="David" w:cs="David" w:hint="cs"/>
          <w:rtl/>
        </w:rPr>
        <w:t xml:space="preserve"> לפיה המשיב </w:t>
      </w:r>
      <w:r>
        <w:rPr>
          <w:rFonts w:ascii="David" w:hAnsi="David" w:cs="David" w:hint="cs"/>
          <w:rtl/>
        </w:rPr>
        <w:t>לא</w:t>
      </w:r>
      <w:r w:rsidR="007A1361">
        <w:rPr>
          <w:rFonts w:ascii="David" w:hAnsi="David" w:cs="David" w:hint="cs"/>
          <w:rtl/>
        </w:rPr>
        <w:t xml:space="preserve"> טיפל בתקלות</w:t>
      </w:r>
      <w:r w:rsidR="005E444C">
        <w:rPr>
          <w:rFonts w:ascii="David" w:hAnsi="David" w:cs="David" w:hint="cs"/>
          <w:rtl/>
        </w:rPr>
        <w:t xml:space="preserve"> בטעות יסוד</w:t>
      </w:r>
      <w:r w:rsidR="009B4F51">
        <w:rPr>
          <w:rFonts w:ascii="David" w:hAnsi="David" w:cs="David" w:hint="cs"/>
          <w:rtl/>
        </w:rPr>
        <w:t>ה</w:t>
      </w:r>
      <w:r w:rsidR="007A1361">
        <w:rPr>
          <w:rFonts w:ascii="David" w:hAnsi="David" w:cs="David" w:hint="cs"/>
          <w:rtl/>
        </w:rPr>
        <w:t xml:space="preserve"> (עמ' 6 ש' 14 </w:t>
      </w:r>
      <w:r w:rsidR="007A1361">
        <w:rPr>
          <w:rFonts w:ascii="David" w:hAnsi="David" w:cs="David"/>
          <w:rtl/>
        </w:rPr>
        <w:t>–</w:t>
      </w:r>
      <w:r w:rsidR="007A1361">
        <w:rPr>
          <w:rFonts w:ascii="David" w:hAnsi="David" w:cs="David" w:hint="cs"/>
          <w:rtl/>
        </w:rPr>
        <w:t xml:space="preserve"> 19</w:t>
      </w:r>
      <w:r w:rsidR="00095235">
        <w:rPr>
          <w:rFonts w:ascii="David" w:hAnsi="David" w:cs="David" w:hint="cs"/>
          <w:rtl/>
        </w:rPr>
        <w:t xml:space="preserve"> לפסה"ד</w:t>
      </w:r>
      <w:r w:rsidR="007A1361">
        <w:rPr>
          <w:rFonts w:ascii="David" w:hAnsi="David" w:cs="David" w:hint="cs"/>
          <w:rtl/>
        </w:rPr>
        <w:t xml:space="preserve">). </w:t>
      </w:r>
      <w:r w:rsidR="000947DD" w:rsidRPr="009B4F51">
        <w:rPr>
          <w:rFonts w:ascii="David" w:hAnsi="David" w:cs="David" w:hint="cs"/>
          <w:b/>
          <w:bCs/>
          <w:rtl/>
        </w:rPr>
        <w:t>המשיב העיד מפורשות שבמועדים הרלוונטיים, (לאחר עזיבת חננאל) הוא היה מתקן את המכונות</w:t>
      </w:r>
      <w:r w:rsidR="000947DD" w:rsidRPr="009B4F51">
        <w:rPr>
          <w:rFonts w:ascii="David" w:hAnsi="David" w:cs="David" w:hint="cs"/>
          <w:rtl/>
        </w:rPr>
        <w:t xml:space="preserve"> </w:t>
      </w:r>
      <w:r w:rsidR="0091434E" w:rsidRPr="009B4F51">
        <w:rPr>
          <w:rFonts w:ascii="David" w:hAnsi="David" w:cs="David" w:hint="cs"/>
          <w:rtl/>
        </w:rPr>
        <w:t xml:space="preserve"> </w:t>
      </w:r>
      <w:r w:rsidR="000947DD" w:rsidRPr="009B4F51">
        <w:rPr>
          <w:rFonts w:ascii="David" w:hAnsi="David" w:cs="David" w:hint="cs"/>
          <w:rtl/>
        </w:rPr>
        <w:t>(עמ' 4 ש' 1 -5 לפרוטוקול).</w:t>
      </w:r>
    </w:p>
    <w:p w14:paraId="7601B221" w14:textId="77777777" w:rsidR="000947DD" w:rsidRDefault="000947DD" w:rsidP="00A5775B">
      <w:pPr>
        <w:pStyle w:val="a4"/>
        <w:ind w:left="281" w:right="113"/>
        <w:jc w:val="both"/>
        <w:rPr>
          <w:rFonts w:ascii="David" w:hAnsi="David" w:cs="David"/>
        </w:rPr>
      </w:pPr>
      <w:r>
        <w:rPr>
          <w:rFonts w:ascii="David" w:hAnsi="David" w:cs="David" w:hint="cs"/>
          <w:rtl/>
        </w:rPr>
        <w:t>בית המשפט הנכבד קמא פונה לתובע:</w:t>
      </w:r>
    </w:p>
    <w:p w14:paraId="63FACD39" w14:textId="742DE137" w:rsidR="000947DD" w:rsidRDefault="000947DD" w:rsidP="00A5775B">
      <w:pPr>
        <w:pStyle w:val="a4"/>
        <w:ind w:left="281" w:right="113"/>
        <w:jc w:val="both"/>
        <w:rPr>
          <w:rFonts w:ascii="David" w:hAnsi="David" w:cs="David"/>
          <w:rtl/>
        </w:rPr>
      </w:pPr>
      <w:r>
        <w:rPr>
          <w:rFonts w:ascii="David" w:hAnsi="David" w:cs="David" w:hint="cs"/>
          <w:rtl/>
        </w:rPr>
        <w:t>ביהמ"ש: "רגע אני רוצה להבין זמן שבנימין ניהל את המפעל אתה תיקנת את המכונות?</w:t>
      </w:r>
    </w:p>
    <w:p w14:paraId="0C75EA9B" w14:textId="1223BA44" w:rsidR="000947DD" w:rsidRDefault="000947DD" w:rsidP="00A5775B">
      <w:pPr>
        <w:pStyle w:val="a4"/>
        <w:ind w:left="281" w:right="113"/>
        <w:jc w:val="both"/>
        <w:rPr>
          <w:rFonts w:ascii="David" w:hAnsi="David" w:cs="David"/>
          <w:rtl/>
        </w:rPr>
      </w:pPr>
      <w:r>
        <w:rPr>
          <w:rFonts w:ascii="David" w:hAnsi="David" w:cs="David" w:hint="cs"/>
          <w:rtl/>
        </w:rPr>
        <w:t>התובע: הייתי מנקה אותם, הוא היה אני בנימין, לא לבד, הוא מולי.</w:t>
      </w:r>
    </w:p>
    <w:p w14:paraId="40056D11" w14:textId="0B88D703" w:rsidR="000947DD" w:rsidRDefault="000947DD" w:rsidP="00A5775B">
      <w:pPr>
        <w:pStyle w:val="a4"/>
        <w:ind w:left="281" w:right="113"/>
        <w:jc w:val="both"/>
        <w:rPr>
          <w:rFonts w:ascii="David" w:hAnsi="David" w:cs="David"/>
          <w:rtl/>
        </w:rPr>
      </w:pPr>
      <w:r>
        <w:rPr>
          <w:rFonts w:ascii="David" w:hAnsi="David" w:cs="David" w:hint="cs"/>
          <w:rtl/>
        </w:rPr>
        <w:t>ביהמ"ש: *הערת ביהמ"ש בדבר אי הזמנת מתורגמן*...אני לא מדברת על מכונה מלוכלכת, המכונה מפסיקה לעבוד, יש בה תקלה כן?</w:t>
      </w:r>
    </w:p>
    <w:p w14:paraId="5EB0E0C1" w14:textId="3B7441E2" w:rsidR="000947DD" w:rsidRDefault="000947DD" w:rsidP="00A5775B">
      <w:pPr>
        <w:pStyle w:val="a4"/>
        <w:ind w:left="281" w:right="113"/>
        <w:jc w:val="both"/>
        <w:rPr>
          <w:rFonts w:ascii="David" w:hAnsi="David" w:cs="David"/>
          <w:rtl/>
        </w:rPr>
      </w:pPr>
      <w:r>
        <w:rPr>
          <w:rFonts w:ascii="David" w:hAnsi="David" w:cs="David" w:hint="cs"/>
          <w:rtl/>
        </w:rPr>
        <w:t>התובע: כן.</w:t>
      </w:r>
    </w:p>
    <w:p w14:paraId="6A979EBB" w14:textId="36874773" w:rsidR="000947DD" w:rsidRDefault="000947DD" w:rsidP="00A5775B">
      <w:pPr>
        <w:pStyle w:val="a4"/>
        <w:ind w:left="281" w:right="113"/>
        <w:jc w:val="both"/>
        <w:rPr>
          <w:rFonts w:ascii="David" w:hAnsi="David" w:cs="David"/>
          <w:rtl/>
        </w:rPr>
      </w:pPr>
      <w:r>
        <w:rPr>
          <w:rFonts w:ascii="David" w:hAnsi="David" w:cs="David" w:hint="cs"/>
          <w:rtl/>
        </w:rPr>
        <w:t>ביהמ"ש: אתה מתקן אותה?</w:t>
      </w:r>
    </w:p>
    <w:p w14:paraId="13732EDA" w14:textId="641DAE2E" w:rsidR="000947DD" w:rsidRDefault="000947DD" w:rsidP="00A5775B">
      <w:pPr>
        <w:pStyle w:val="a4"/>
        <w:ind w:left="281" w:right="113"/>
        <w:jc w:val="both"/>
        <w:rPr>
          <w:rFonts w:ascii="David" w:hAnsi="David" w:cs="David"/>
          <w:rtl/>
        </w:rPr>
      </w:pPr>
      <w:r>
        <w:rPr>
          <w:rFonts w:ascii="David" w:hAnsi="David" w:cs="David" w:hint="cs"/>
          <w:rtl/>
        </w:rPr>
        <w:lastRenderedPageBreak/>
        <w:t>התובע: לא, לא כל תקלות, לא כל תקלות. תקלות של חשמל לא מתקן. לא כל תקלות.</w:t>
      </w:r>
    </w:p>
    <w:p w14:paraId="3A534835" w14:textId="65167E73" w:rsidR="000947DD" w:rsidRDefault="000947DD" w:rsidP="00A5775B">
      <w:pPr>
        <w:pStyle w:val="a4"/>
        <w:ind w:left="281" w:right="113"/>
        <w:jc w:val="both"/>
        <w:rPr>
          <w:rFonts w:ascii="David" w:hAnsi="David" w:cs="David"/>
          <w:rtl/>
        </w:rPr>
      </w:pPr>
      <w:r>
        <w:rPr>
          <w:rFonts w:ascii="David" w:hAnsi="David" w:cs="David" w:hint="cs"/>
          <w:rtl/>
        </w:rPr>
        <w:t>ביהמ"ש: או-קיי ותקלות אחרות, אם המכונה מלוכלכת או אם יש איזה בעיה אתה כן מתקן בזמן בנימין?</w:t>
      </w:r>
    </w:p>
    <w:p w14:paraId="6A2C538E" w14:textId="1AF8C7F1" w:rsidR="000947DD" w:rsidRDefault="000947DD" w:rsidP="007A6FA4">
      <w:pPr>
        <w:pStyle w:val="a4"/>
        <w:spacing w:before="120" w:after="120"/>
        <w:ind w:left="281" w:right="113"/>
        <w:jc w:val="both"/>
        <w:rPr>
          <w:rFonts w:ascii="David" w:hAnsi="David" w:cs="David"/>
          <w:rtl/>
        </w:rPr>
      </w:pPr>
      <w:r>
        <w:rPr>
          <w:rFonts w:ascii="David" w:hAnsi="David" w:cs="David" w:hint="cs"/>
          <w:rtl/>
        </w:rPr>
        <w:t>התובע:כן."</w:t>
      </w:r>
      <w:r w:rsidR="00A5775B">
        <w:rPr>
          <w:rFonts w:ascii="David" w:hAnsi="David" w:cs="David" w:hint="cs"/>
          <w:rtl/>
        </w:rPr>
        <w:t xml:space="preserve">   </w:t>
      </w:r>
      <w:r>
        <w:rPr>
          <w:rFonts w:ascii="David" w:hAnsi="David" w:cs="David" w:hint="cs"/>
          <w:rtl/>
        </w:rPr>
        <w:t xml:space="preserve">(עמ' 4 ש' 6 </w:t>
      </w:r>
      <w:r>
        <w:rPr>
          <w:rFonts w:ascii="David" w:hAnsi="David" w:cs="David"/>
          <w:rtl/>
        </w:rPr>
        <w:t>–</w:t>
      </w:r>
      <w:r>
        <w:rPr>
          <w:rFonts w:ascii="David" w:hAnsi="David" w:cs="David" w:hint="cs"/>
          <w:rtl/>
        </w:rPr>
        <w:t xml:space="preserve"> 20 לפרוטוקול)</w:t>
      </w:r>
    </w:p>
    <w:p w14:paraId="1E3E6B03" w14:textId="77777777" w:rsidR="007A6FA4" w:rsidRDefault="007A6FA4" w:rsidP="007A6FA4">
      <w:pPr>
        <w:pStyle w:val="a4"/>
        <w:spacing w:before="120" w:after="120"/>
        <w:ind w:left="281" w:right="113"/>
        <w:jc w:val="both"/>
        <w:rPr>
          <w:rFonts w:ascii="David" w:hAnsi="David" w:cs="David"/>
          <w:rtl/>
        </w:rPr>
      </w:pPr>
    </w:p>
    <w:p w14:paraId="07EEFEC7" w14:textId="5E873BB8" w:rsidR="000947DD" w:rsidRPr="00A5775B" w:rsidRDefault="00095235" w:rsidP="007A6FA4">
      <w:pPr>
        <w:pStyle w:val="a4"/>
        <w:numPr>
          <w:ilvl w:val="0"/>
          <w:numId w:val="6"/>
        </w:numPr>
        <w:spacing w:before="120" w:after="120" w:line="360" w:lineRule="auto"/>
        <w:ind w:left="-2" w:hanging="425"/>
        <w:jc w:val="both"/>
        <w:rPr>
          <w:rFonts w:ascii="David" w:hAnsi="David" w:cs="David"/>
        </w:rPr>
      </w:pPr>
      <w:r>
        <w:rPr>
          <w:rFonts w:ascii="David" w:hAnsi="David" w:cs="David" w:hint="cs"/>
          <w:rtl/>
        </w:rPr>
        <w:t>הנה לנו הודאת בעל דין על תיקון ותפעול תקלות במכונה</w:t>
      </w:r>
      <w:r w:rsidR="00D47994">
        <w:rPr>
          <w:rFonts w:ascii="David" w:hAnsi="David" w:cs="David" w:hint="cs"/>
          <w:rtl/>
        </w:rPr>
        <w:t xml:space="preserve"> וסתירת האמור בתצהירו שם הדגיש כי עבודתו כללה "...תפעול ועבודה עם מכונה (לא תיקון מכונות)". (עמ' 6, סעיף 38 לתצהיר המשיב)</w:t>
      </w:r>
      <w:r w:rsidR="00A5775B">
        <w:rPr>
          <w:rFonts w:ascii="David" w:hAnsi="David" w:cs="David" w:hint="cs"/>
          <w:rtl/>
        </w:rPr>
        <w:t xml:space="preserve"> </w:t>
      </w:r>
      <w:r w:rsidR="000947DD" w:rsidRPr="00A5775B">
        <w:rPr>
          <w:rFonts w:ascii="David" w:hAnsi="David" w:cs="David" w:hint="cs"/>
          <w:rtl/>
        </w:rPr>
        <w:t xml:space="preserve">כאמור, קביעת ביהמ"ש הנכבד קמא לפיה מדובר בעובד ייצור פשוט שאינו אחראי לתפעול וטיפול בתקלות אינה נכונה. תמונת המציאות הינה שבעבר היו עובדים נוספים, בהם חננאל, ובמועדים הרלוונטיים הגורם שהיה מטפל ומתפעל את המכונה </w:t>
      </w:r>
      <w:r w:rsidR="00D47994" w:rsidRPr="00A5775B">
        <w:rPr>
          <w:rFonts w:ascii="David" w:hAnsi="David" w:cs="David" w:hint="cs"/>
          <w:rtl/>
        </w:rPr>
        <w:t>הוא</w:t>
      </w:r>
      <w:r w:rsidR="000947DD" w:rsidRPr="00A5775B">
        <w:rPr>
          <w:rFonts w:ascii="David" w:hAnsi="David" w:cs="David" w:hint="cs"/>
          <w:rtl/>
        </w:rPr>
        <w:t xml:space="preserve"> המשיב</w:t>
      </w:r>
      <w:r w:rsidR="00D47994" w:rsidRPr="00A5775B">
        <w:rPr>
          <w:rFonts w:ascii="David" w:hAnsi="David" w:cs="David" w:hint="cs"/>
          <w:rtl/>
        </w:rPr>
        <w:t xml:space="preserve"> -</w:t>
      </w:r>
      <w:r w:rsidR="000947DD" w:rsidRPr="00A5775B">
        <w:rPr>
          <w:rFonts w:ascii="David" w:hAnsi="David" w:cs="David" w:hint="cs"/>
          <w:rtl/>
        </w:rPr>
        <w:t xml:space="preserve"> כך על פי עדותו.</w:t>
      </w:r>
    </w:p>
    <w:p w14:paraId="7EAAE135" w14:textId="77777777" w:rsidR="0091434E" w:rsidRDefault="0091434E" w:rsidP="00FC6F1F">
      <w:pPr>
        <w:pStyle w:val="a4"/>
        <w:spacing w:line="360" w:lineRule="auto"/>
        <w:ind w:left="-2"/>
        <w:jc w:val="both"/>
        <w:rPr>
          <w:rFonts w:ascii="David" w:hAnsi="David" w:cs="David"/>
        </w:rPr>
      </w:pPr>
    </w:p>
    <w:p w14:paraId="796E1C59" w14:textId="12B88EA2" w:rsidR="000947DD" w:rsidRDefault="000947DD" w:rsidP="00FC6F1F">
      <w:pPr>
        <w:pStyle w:val="a4"/>
        <w:numPr>
          <w:ilvl w:val="0"/>
          <w:numId w:val="6"/>
        </w:numPr>
        <w:spacing w:line="360" w:lineRule="auto"/>
        <w:ind w:left="-2" w:hanging="425"/>
        <w:jc w:val="both"/>
        <w:rPr>
          <w:rFonts w:ascii="David" w:hAnsi="David" w:cs="David"/>
        </w:rPr>
      </w:pPr>
      <w:r>
        <w:rPr>
          <w:rFonts w:ascii="David" w:hAnsi="David" w:cs="David" w:hint="cs"/>
          <w:rtl/>
        </w:rPr>
        <w:t xml:space="preserve">המשיב היה הגורם שאמון על המכונה ותפעולה, כפי שעשה </w:t>
      </w:r>
      <w:r w:rsidR="00D47994">
        <w:rPr>
          <w:rFonts w:ascii="David" w:hAnsi="David" w:cs="David" w:hint="cs"/>
          <w:rtl/>
        </w:rPr>
        <w:t>שש</w:t>
      </w:r>
      <w:r>
        <w:rPr>
          <w:rFonts w:ascii="David" w:hAnsi="David" w:cs="David" w:hint="cs"/>
          <w:rtl/>
        </w:rPr>
        <w:t xml:space="preserve"> שנים קודם לכן ונפצע בנסיבות דומות וכשם שעשה במקרה דנן עת שמע לדבריו רעש מהמכונה, פתח אותה</w:t>
      </w:r>
      <w:r w:rsidR="00B84291">
        <w:rPr>
          <w:rFonts w:ascii="David" w:hAnsi="David" w:cs="David" w:hint="cs"/>
          <w:rtl/>
        </w:rPr>
        <w:t xml:space="preserve"> כשהיא אינה מחוברת לחשמל ראה את גלגלי השיניים של המכונה והוציא אחד מהם ולדבריו ניתן שהמכונה תעבוד גם בלעדיו (עמ' 5 שורות 1 </w:t>
      </w:r>
      <w:r w:rsidR="00B84291">
        <w:rPr>
          <w:rFonts w:ascii="David" w:hAnsi="David" w:cs="David"/>
          <w:rtl/>
        </w:rPr>
        <w:t>–</w:t>
      </w:r>
      <w:r w:rsidR="00B84291">
        <w:rPr>
          <w:rFonts w:ascii="David" w:hAnsi="David" w:cs="David" w:hint="cs"/>
          <w:rtl/>
        </w:rPr>
        <w:t xml:space="preserve"> 7 לפרוטוקול).</w:t>
      </w:r>
    </w:p>
    <w:p w14:paraId="43D6865B" w14:textId="77777777" w:rsidR="0091434E" w:rsidRDefault="0091434E" w:rsidP="00FC6F1F">
      <w:pPr>
        <w:pStyle w:val="a4"/>
        <w:spacing w:line="360" w:lineRule="auto"/>
        <w:ind w:left="-2"/>
        <w:jc w:val="both"/>
        <w:rPr>
          <w:rFonts w:ascii="David" w:hAnsi="David" w:cs="David"/>
        </w:rPr>
      </w:pPr>
    </w:p>
    <w:p w14:paraId="47247CD6" w14:textId="3E3AD71F" w:rsidR="00B84291" w:rsidRDefault="006515B1" w:rsidP="00FC6F1F">
      <w:pPr>
        <w:pStyle w:val="a4"/>
        <w:numPr>
          <w:ilvl w:val="0"/>
          <w:numId w:val="6"/>
        </w:numPr>
        <w:spacing w:line="360" w:lineRule="auto"/>
        <w:ind w:left="-2" w:hanging="425"/>
        <w:jc w:val="both"/>
        <w:rPr>
          <w:rFonts w:ascii="David" w:hAnsi="David" w:cs="David"/>
        </w:rPr>
      </w:pPr>
      <w:r>
        <w:rPr>
          <w:rFonts w:ascii="David" w:hAnsi="David" w:cs="David" w:hint="cs"/>
          <w:rtl/>
        </w:rPr>
        <w:t>המשיב מעיד שהשיחה עם המערער 2 אגב הוצאת הגלגל הייתה טלפונית ואז מתאים את גרסתו כך שבסצנה הבאה בנימין נוכח והדברים נעשים ביחד (עמ' 5 ש' 37</w:t>
      </w:r>
      <w:r w:rsidR="00D47994">
        <w:rPr>
          <w:rFonts w:ascii="David" w:hAnsi="David" w:cs="David" w:hint="cs"/>
          <w:rtl/>
        </w:rPr>
        <w:t xml:space="preserve"> לפרוטוקול</w:t>
      </w:r>
      <w:r>
        <w:rPr>
          <w:rFonts w:ascii="David" w:hAnsi="David" w:cs="David" w:hint="cs"/>
          <w:rtl/>
        </w:rPr>
        <w:t xml:space="preserve">)  במקום והם "מתייעצים" (עמ' 6 ש' 9). בהמשך יעיד המשיב כי הוא התייעץ איתו וגם בעל הבית מתייעץ איתו ובסוף מתעקש להכניס שהוא לא מקצועי במכונות  - בניסיון להקטין עצמו כאמור (עמ' 6 ש' 10 </w:t>
      </w:r>
      <w:r>
        <w:rPr>
          <w:rFonts w:ascii="David" w:hAnsi="David" w:cs="David"/>
          <w:rtl/>
        </w:rPr>
        <w:t>–</w:t>
      </w:r>
      <w:r>
        <w:rPr>
          <w:rFonts w:ascii="David" w:hAnsi="David" w:cs="David" w:hint="cs"/>
          <w:rtl/>
        </w:rPr>
        <w:t xml:space="preserve"> 16).</w:t>
      </w:r>
    </w:p>
    <w:p w14:paraId="7120C413" w14:textId="77777777" w:rsidR="00FC6F1F" w:rsidRPr="00FC6F1F" w:rsidRDefault="00FC6F1F" w:rsidP="00FC6F1F">
      <w:pPr>
        <w:pStyle w:val="a4"/>
        <w:rPr>
          <w:rFonts w:ascii="David" w:hAnsi="David" w:cs="David"/>
          <w:rtl/>
        </w:rPr>
      </w:pPr>
    </w:p>
    <w:p w14:paraId="05E06F68" w14:textId="5D7E33CE" w:rsidR="00B9186F" w:rsidRDefault="00A31456" w:rsidP="00FC6F1F">
      <w:pPr>
        <w:pStyle w:val="a4"/>
        <w:numPr>
          <w:ilvl w:val="0"/>
          <w:numId w:val="6"/>
        </w:numPr>
        <w:spacing w:line="360" w:lineRule="auto"/>
        <w:ind w:left="-2" w:hanging="425"/>
        <w:jc w:val="both"/>
        <w:rPr>
          <w:rFonts w:ascii="David" w:hAnsi="David" w:cs="David"/>
        </w:rPr>
      </w:pPr>
      <w:r>
        <w:rPr>
          <w:rFonts w:ascii="David" w:hAnsi="David" w:cs="David" w:hint="cs"/>
          <w:rtl/>
        </w:rPr>
        <w:t xml:space="preserve">אף מבלי להידרש לראיה הנוספת אותה מבקשים המערערים כאמור לצרף, קביעת בית המשפט הנכבד קמא כי היעדר האשם התורם הוא פועל יוצא של ההנחה בדבר </w:t>
      </w:r>
      <w:r w:rsidR="00C80FCC">
        <w:rPr>
          <w:rFonts w:ascii="David" w:hAnsi="David" w:cs="David" w:hint="cs"/>
          <w:rtl/>
        </w:rPr>
        <w:t xml:space="preserve">סטיה מהוראות הבטיחות וחוסר זהירות לסכנות האורבות לו כמו גם ההפניה לע"א 227/67 </w:t>
      </w:r>
      <w:r w:rsidR="00C80FCC">
        <w:rPr>
          <w:rFonts w:ascii="David" w:hAnsi="David" w:cs="David" w:hint="cs"/>
          <w:b/>
          <w:bCs/>
          <w:rtl/>
        </w:rPr>
        <w:t>אמסלם נ' כץ</w:t>
      </w:r>
      <w:r w:rsidR="00C80FCC">
        <w:rPr>
          <w:rFonts w:ascii="David" w:hAnsi="David" w:cs="David" w:hint="cs"/>
          <w:rtl/>
        </w:rPr>
        <w:t xml:space="preserve"> </w:t>
      </w:r>
      <w:r w:rsidR="007A6FA4">
        <w:rPr>
          <w:rFonts w:ascii="David" w:hAnsi="David" w:cs="David" w:hint="cs"/>
          <w:rtl/>
        </w:rPr>
        <w:t>הינה טעות</w:t>
      </w:r>
      <w:r w:rsidR="00C80FCC">
        <w:rPr>
          <w:rFonts w:ascii="David" w:hAnsi="David" w:cs="David" w:hint="cs"/>
          <w:rtl/>
        </w:rPr>
        <w:t xml:space="preserve"> </w:t>
      </w:r>
      <w:r w:rsidR="007A6FA4">
        <w:rPr>
          <w:rFonts w:ascii="David" w:hAnsi="David" w:cs="David" w:hint="cs"/>
          <w:rtl/>
        </w:rPr>
        <w:t xml:space="preserve">בענייננו </w:t>
      </w:r>
      <w:r>
        <w:rPr>
          <w:rFonts w:ascii="David" w:hAnsi="David" w:cs="David" w:hint="cs"/>
          <w:rtl/>
        </w:rPr>
        <w:t>(עמ' 5 פסקה 26 לפסה"ד)</w:t>
      </w:r>
      <w:r w:rsidR="00C80FCC">
        <w:rPr>
          <w:rFonts w:ascii="David" w:hAnsi="David" w:cs="David" w:hint="cs"/>
          <w:rtl/>
        </w:rPr>
        <w:t>.</w:t>
      </w:r>
    </w:p>
    <w:p w14:paraId="00F27AAC" w14:textId="77777777" w:rsidR="0091434E" w:rsidRDefault="0091434E" w:rsidP="00FC6F1F">
      <w:pPr>
        <w:pStyle w:val="a4"/>
        <w:spacing w:line="360" w:lineRule="auto"/>
        <w:ind w:left="-2"/>
        <w:jc w:val="both"/>
        <w:rPr>
          <w:rFonts w:ascii="David" w:hAnsi="David" w:cs="David"/>
        </w:rPr>
      </w:pPr>
    </w:p>
    <w:p w14:paraId="199A858F" w14:textId="4F4D334E" w:rsidR="00C80FCC" w:rsidRDefault="004212E3" w:rsidP="00FC6F1F">
      <w:pPr>
        <w:pStyle w:val="a4"/>
        <w:numPr>
          <w:ilvl w:val="0"/>
          <w:numId w:val="6"/>
        </w:numPr>
        <w:spacing w:line="360" w:lineRule="auto"/>
        <w:ind w:left="-2" w:hanging="425"/>
        <w:jc w:val="both"/>
        <w:rPr>
          <w:rFonts w:ascii="David" w:hAnsi="David" w:cs="David"/>
        </w:rPr>
      </w:pPr>
      <w:r>
        <w:rPr>
          <w:rFonts w:ascii="David" w:hAnsi="David" w:cs="David" w:hint="cs"/>
          <w:rtl/>
        </w:rPr>
        <w:t>במקרה דנן מדובר בעובד הותיק ביותר, שלו הידע הניסיון והמומחיות בתפעול ותיקון המכונה ברגיל. הסכנה הגלומה במכונה ידועה לו יותר מלכל גורם אחר, מעבר לעבודה שכבר נפצע ונגרמה לו נכות בעבר משימוש במכונה, הוא אשר נטל סיכון ממשי ולא מחושב, ועם כל הצער שבדבר, חטא ברשלנות של ממש</w:t>
      </w:r>
      <w:r w:rsidR="00826C51">
        <w:rPr>
          <w:rFonts w:ascii="David" w:hAnsi="David" w:cs="David" w:hint="cs"/>
          <w:rtl/>
        </w:rPr>
        <w:t>.</w:t>
      </w:r>
    </w:p>
    <w:p w14:paraId="68C09224" w14:textId="77777777" w:rsidR="0091434E" w:rsidRDefault="0091434E" w:rsidP="00FC6F1F">
      <w:pPr>
        <w:pStyle w:val="a4"/>
        <w:spacing w:line="360" w:lineRule="auto"/>
        <w:ind w:left="-2"/>
        <w:jc w:val="both"/>
        <w:rPr>
          <w:rFonts w:ascii="David" w:hAnsi="David" w:cs="David"/>
        </w:rPr>
      </w:pPr>
    </w:p>
    <w:p w14:paraId="4DC8EA24" w14:textId="77777777" w:rsidR="00F21B70" w:rsidRDefault="00F21B70" w:rsidP="00FC6F1F">
      <w:pPr>
        <w:pStyle w:val="a4"/>
        <w:numPr>
          <w:ilvl w:val="0"/>
          <w:numId w:val="6"/>
        </w:numPr>
        <w:spacing w:line="360" w:lineRule="auto"/>
        <w:ind w:left="-2" w:hanging="425"/>
        <w:jc w:val="both"/>
        <w:rPr>
          <w:rFonts w:ascii="David" w:hAnsi="David" w:cs="David"/>
        </w:rPr>
      </w:pPr>
      <w:r>
        <w:rPr>
          <w:rFonts w:ascii="David" w:hAnsi="David" w:cs="David" w:hint="cs"/>
          <w:rtl/>
        </w:rPr>
        <w:t xml:space="preserve">מקרה זה שונה מהלכת ע"א 1062/15 </w:t>
      </w:r>
      <w:r>
        <w:rPr>
          <w:rFonts w:ascii="David" w:hAnsi="David" w:cs="David" w:hint="cs"/>
          <w:b/>
          <w:bCs/>
          <w:rtl/>
        </w:rPr>
        <w:t xml:space="preserve">והבי נ' כמאל </w:t>
      </w:r>
      <w:r>
        <w:rPr>
          <w:rFonts w:ascii="David" w:hAnsi="David" w:cs="David" w:hint="cs"/>
          <w:rtl/>
        </w:rPr>
        <w:t xml:space="preserve">(פורסם בנבו), ודומה לנדון בע"א 7895/08 </w:t>
      </w:r>
      <w:r>
        <w:rPr>
          <w:rFonts w:ascii="David" w:hAnsi="David" w:cs="David" w:hint="cs"/>
          <w:b/>
          <w:bCs/>
          <w:rtl/>
        </w:rPr>
        <w:t>קלינה אליעזר ובניו הנדסה תכנון וביצוע נ' מוחמד יאסין (</w:t>
      </w:r>
      <w:r>
        <w:rPr>
          <w:rFonts w:ascii="David" w:hAnsi="David" w:cs="David" w:hint="cs"/>
          <w:rtl/>
        </w:rPr>
        <w:t>פורסם בנבו), כפי שנקבע שם:</w:t>
      </w:r>
    </w:p>
    <w:p w14:paraId="3E0D2052" w14:textId="77777777" w:rsidR="00826C51" w:rsidRDefault="00826C51" w:rsidP="00FC6F1F">
      <w:pPr>
        <w:pStyle w:val="a4"/>
        <w:spacing w:line="360" w:lineRule="auto"/>
        <w:ind w:left="-2"/>
        <w:jc w:val="both"/>
        <w:rPr>
          <w:rFonts w:ascii="David" w:hAnsi="David" w:cs="David"/>
          <w:rtl/>
        </w:rPr>
      </w:pPr>
      <w:r w:rsidRPr="00826C51">
        <w:rPr>
          <w:rFonts w:ascii="David" w:hAnsi="David" w:cs="David"/>
          <w:rtl/>
        </w:rPr>
        <w:t>"</w:t>
      </w:r>
      <w:r w:rsidRPr="00826C51">
        <w:rPr>
          <w:rFonts w:ascii="David" w:hAnsi="David" w:cs="David"/>
          <w:b/>
          <w:bCs/>
          <w:spacing w:val="10"/>
          <w:sz w:val="22"/>
          <w:szCs w:val="28"/>
          <w:rtl/>
        </w:rPr>
        <w:t xml:space="preserve">... </w:t>
      </w:r>
      <w:r w:rsidRPr="00826C51">
        <w:rPr>
          <w:rFonts w:ascii="David" w:hAnsi="David" w:cs="David"/>
          <w:b/>
          <w:bCs/>
          <w:rtl/>
        </w:rPr>
        <w:t>נוכח זאת, ראוי להטיל אחריות בגין רשלנות תורמת על עובד, רק אם הוא נטל סיכון בלתי מחושב וממשי, כתוצאה מהחלטתו החופשית, ואותו סיכון הוא זה אשר גרם לנזק (שם, בעמ' 528). ודוק, עלינו לבחון כל מקרה ונסיבותיו. מקום שנמצא שהעובד סטה באופן ממשי מרמת הזהירות הנדרשת, כך שחטא ברשלנות של ממש, כי אז תוטל עליו אחריות בגין רשלנות תורמת (ראו והשוו: עניין יצחק, בעמ' 81)"</w:t>
      </w:r>
      <w:r w:rsidRPr="00826C51">
        <w:rPr>
          <w:rFonts w:ascii="David" w:hAnsi="David" w:cs="David"/>
          <w:rtl/>
        </w:rPr>
        <w:t xml:space="preserve">.   </w:t>
      </w:r>
    </w:p>
    <w:p w14:paraId="1225B8D4" w14:textId="1F874D4D" w:rsidR="00F21B70" w:rsidRPr="00F21B70" w:rsidRDefault="00F21B70" w:rsidP="00FC6F1F">
      <w:pPr>
        <w:spacing w:line="360" w:lineRule="auto"/>
        <w:ind w:left="-2"/>
        <w:jc w:val="both"/>
        <w:rPr>
          <w:rFonts w:ascii="David" w:hAnsi="David" w:cs="David"/>
          <w:rtl/>
        </w:rPr>
      </w:pPr>
    </w:p>
    <w:p w14:paraId="0A5CCF20" w14:textId="3701B106" w:rsidR="002B7B54" w:rsidRPr="00BA5B85" w:rsidRDefault="002B7B54" w:rsidP="00BA5B85">
      <w:pPr>
        <w:pStyle w:val="a4"/>
        <w:numPr>
          <w:ilvl w:val="0"/>
          <w:numId w:val="6"/>
        </w:numPr>
        <w:spacing w:line="360" w:lineRule="auto"/>
        <w:ind w:left="-2" w:hanging="425"/>
        <w:jc w:val="both"/>
        <w:rPr>
          <w:rFonts w:ascii="David" w:hAnsi="David" w:cs="David"/>
        </w:rPr>
      </w:pPr>
      <w:r>
        <w:rPr>
          <w:rFonts w:ascii="David" w:hAnsi="David" w:cs="David" w:hint="cs"/>
          <w:rtl/>
        </w:rPr>
        <w:t>במקרים בהם הניזוק מודע לנסיבות הסיכון וחרף זאת גרם באשמו לנזק</w:t>
      </w:r>
      <w:r w:rsidR="00E320EC">
        <w:rPr>
          <w:rFonts w:ascii="David" w:hAnsi="David" w:cs="David" w:hint="cs"/>
          <w:rtl/>
        </w:rPr>
        <w:t xml:space="preserve">, נקטו בית המשפט לייחס לעובד הניזוק אשם תורם בשיעור לא מבוטל, ראו בעניין ת"א 2187/02 </w:t>
      </w:r>
      <w:r w:rsidR="00E320EC">
        <w:rPr>
          <w:rFonts w:ascii="David" w:hAnsi="David" w:cs="David" w:hint="cs"/>
          <w:b/>
          <w:bCs/>
          <w:rtl/>
        </w:rPr>
        <w:t>עיני משה נ' יובי הלבשה בע"מ ואח'</w:t>
      </w:r>
      <w:r w:rsidR="00E320EC">
        <w:rPr>
          <w:rFonts w:ascii="David" w:hAnsi="David" w:cs="David" w:hint="cs"/>
          <w:rtl/>
        </w:rPr>
        <w:t xml:space="preserve"> (פורסם בנבו) שם נדון עניינו של אב המועסק בחנות בנו אשר מכיר היטב את מקום העסקה וניזוק עת נפל מסולם עליו טיפס נקבע כי התנהגותו של הניזוק הייתה רשלנית באופן בלתי סביר וכי ניתן היה למנוע את התאונה בביצוע פעולות פשוטות והוחלט לייחס אשם תורם בשיעור 50%.</w:t>
      </w:r>
      <w:r w:rsidR="00BA5B85">
        <w:rPr>
          <w:rFonts w:ascii="David" w:hAnsi="David" w:cs="David" w:hint="cs"/>
          <w:rtl/>
        </w:rPr>
        <w:t xml:space="preserve"> </w:t>
      </w:r>
      <w:r w:rsidRPr="00BA5B85">
        <w:rPr>
          <w:rFonts w:ascii="David" w:hAnsi="David" w:cs="David" w:hint="cs"/>
          <w:rtl/>
        </w:rPr>
        <w:t xml:space="preserve"> כך לדוגמא, בת"א 3111-11-17 </w:t>
      </w:r>
      <w:r w:rsidRPr="00BA5B85">
        <w:rPr>
          <w:rFonts w:ascii="David" w:hAnsi="David" w:cs="David" w:hint="cs"/>
          <w:b/>
          <w:bCs/>
          <w:rtl/>
        </w:rPr>
        <w:t xml:space="preserve">פלוני נ' </w:t>
      </w:r>
      <w:r w:rsidRPr="00BA5B85">
        <w:rPr>
          <w:rFonts w:ascii="David" w:hAnsi="David" w:cs="David" w:hint="cs"/>
          <w:b/>
          <w:bCs/>
          <w:rtl/>
        </w:rPr>
        <w:lastRenderedPageBreak/>
        <w:t>דלויה מרכז הבניה בע"מ</w:t>
      </w:r>
      <w:r w:rsidRPr="00BA5B85">
        <w:rPr>
          <w:rFonts w:ascii="David" w:hAnsi="David" w:cs="David" w:hint="cs"/>
          <w:rtl/>
        </w:rPr>
        <w:t xml:space="preserve"> (פורסם בנבו), שם התובע לא היה מודע לסיכון ובן דודו הזהירו, יוחס לתובע אשם תורם בשיעור 30%.</w:t>
      </w:r>
    </w:p>
    <w:p w14:paraId="49411809" w14:textId="77777777" w:rsidR="002B7B54" w:rsidRDefault="002B7B54" w:rsidP="002B7B54">
      <w:pPr>
        <w:pStyle w:val="a4"/>
        <w:spacing w:line="360" w:lineRule="auto"/>
        <w:ind w:left="-2"/>
        <w:jc w:val="both"/>
        <w:rPr>
          <w:rFonts w:ascii="David" w:hAnsi="David" w:cs="David"/>
        </w:rPr>
      </w:pPr>
    </w:p>
    <w:p w14:paraId="4ECB8D3F" w14:textId="00BB11B2" w:rsidR="00F21B70" w:rsidRDefault="00F21B70" w:rsidP="00FC6F1F">
      <w:pPr>
        <w:pStyle w:val="a4"/>
        <w:numPr>
          <w:ilvl w:val="0"/>
          <w:numId w:val="6"/>
        </w:numPr>
        <w:spacing w:line="360" w:lineRule="auto"/>
        <w:ind w:left="-2" w:hanging="425"/>
        <w:jc w:val="both"/>
        <w:rPr>
          <w:rFonts w:ascii="David" w:hAnsi="David" w:cs="David"/>
        </w:rPr>
      </w:pPr>
      <w:r>
        <w:rPr>
          <w:rFonts w:ascii="David" w:hAnsi="David" w:cs="David" w:hint="cs"/>
          <w:rtl/>
        </w:rPr>
        <w:t xml:space="preserve">בע"א 4403/18 </w:t>
      </w:r>
      <w:r>
        <w:rPr>
          <w:rFonts w:ascii="David" w:hAnsi="David" w:cs="David" w:hint="cs"/>
          <w:b/>
          <w:bCs/>
          <w:rtl/>
        </w:rPr>
        <w:t xml:space="preserve">פלוני נ' צמנטכ"ל סולל בונה שותפות מוגבלת </w:t>
      </w:r>
      <w:r w:rsidRPr="00F21B70">
        <w:rPr>
          <w:rFonts w:ascii="David" w:hAnsi="David" w:cs="David" w:hint="cs"/>
          <w:rtl/>
        </w:rPr>
        <w:t>(פורסם בנבו)</w:t>
      </w:r>
      <w:r>
        <w:rPr>
          <w:rFonts w:ascii="David" w:hAnsi="David" w:cs="David" w:hint="cs"/>
          <w:rtl/>
        </w:rPr>
        <w:t xml:space="preserve"> נדון ערעור משפחת המנוח אשר במהלך עבודתו באתר בניה עבר במרחק של 15-20 מטרים ממחפר שעבד במפלס גבוה ממנו נשמט גוש בטון עם ברזלים שפגע בו והביא למותו. בית המשפט המחוזי השית על המנוח אשם תורם בשיעור 25% "וזאת על דרך ההמעטה", בין היתר, </w:t>
      </w:r>
      <w:r w:rsidR="00A5775B">
        <w:rPr>
          <w:rFonts w:ascii="David" w:hAnsi="David" w:cs="David" w:hint="cs"/>
          <w:rtl/>
        </w:rPr>
        <w:t xml:space="preserve">גם </w:t>
      </w:r>
      <w:r>
        <w:rPr>
          <w:rFonts w:ascii="David" w:hAnsi="David" w:cs="David" w:hint="cs"/>
          <w:rtl/>
        </w:rPr>
        <w:t>מן הטעם שהיה עובד ותיק</w:t>
      </w:r>
      <w:r w:rsidR="007A6FA4">
        <w:rPr>
          <w:rFonts w:ascii="David" w:hAnsi="David" w:cs="David" w:hint="cs"/>
          <w:rtl/>
        </w:rPr>
        <w:t>.</w:t>
      </w:r>
      <w:r>
        <w:rPr>
          <w:rFonts w:ascii="David" w:hAnsi="David" w:cs="David" w:hint="cs"/>
          <w:rtl/>
        </w:rPr>
        <w:t xml:space="preserve"> בית המשפט העליון הנכבד הותיר </w:t>
      </w:r>
      <w:r w:rsidR="007A6FA4">
        <w:rPr>
          <w:rFonts w:ascii="David" w:hAnsi="David" w:cs="David" w:hint="cs"/>
          <w:rtl/>
        </w:rPr>
        <w:t>הקביעה</w:t>
      </w:r>
      <w:r>
        <w:rPr>
          <w:rFonts w:ascii="David" w:hAnsi="David" w:cs="David" w:hint="cs"/>
          <w:rtl/>
        </w:rPr>
        <w:t xml:space="preserve"> על כנה</w:t>
      </w:r>
      <w:r w:rsidR="00B02749">
        <w:rPr>
          <w:rFonts w:ascii="David" w:hAnsi="David" w:cs="David" w:hint="cs"/>
          <w:rtl/>
        </w:rPr>
        <w:t xml:space="preserve">  המקרה הנדון שם לא </w:t>
      </w:r>
      <w:r w:rsidR="007A6FA4">
        <w:rPr>
          <w:rFonts w:ascii="David" w:hAnsi="David" w:cs="David" w:hint="cs"/>
          <w:rtl/>
        </w:rPr>
        <w:t>עולה כדי</w:t>
      </w:r>
      <w:r w:rsidR="00B02749">
        <w:rPr>
          <w:rFonts w:ascii="David" w:hAnsi="David" w:cs="David" w:hint="cs"/>
          <w:rtl/>
        </w:rPr>
        <w:t xml:space="preserve"> החריגים המצדיקים התערבות בקביעת הערכאה הדיונית </w:t>
      </w:r>
      <w:r w:rsidR="00B02749">
        <w:rPr>
          <w:rFonts w:ascii="David" w:hAnsi="David" w:cs="David"/>
          <w:rtl/>
        </w:rPr>
        <w:t>–</w:t>
      </w:r>
      <w:r w:rsidR="00B02749">
        <w:rPr>
          <w:rFonts w:ascii="David" w:hAnsi="David" w:cs="David" w:hint="cs"/>
          <w:rtl/>
        </w:rPr>
        <w:t xml:space="preserve"> </w:t>
      </w:r>
      <w:r w:rsidR="00B02749" w:rsidRPr="007A6FA4">
        <w:rPr>
          <w:rFonts w:ascii="David" w:hAnsi="David" w:cs="David" w:hint="cs"/>
          <w:u w:val="single"/>
          <w:rtl/>
        </w:rPr>
        <w:t>להבדיל מענייננו.</w:t>
      </w:r>
    </w:p>
    <w:p w14:paraId="6FC10811" w14:textId="77777777" w:rsidR="007A6FA4" w:rsidRPr="007A6FA4" w:rsidRDefault="007A6FA4" w:rsidP="007A6FA4">
      <w:pPr>
        <w:pStyle w:val="a4"/>
        <w:rPr>
          <w:rFonts w:ascii="David" w:hAnsi="David" w:cs="David"/>
          <w:rtl/>
        </w:rPr>
      </w:pPr>
    </w:p>
    <w:p w14:paraId="300FF89A" w14:textId="7BDEC071" w:rsidR="007A6FA4" w:rsidRDefault="007A6FA4" w:rsidP="00FC6F1F">
      <w:pPr>
        <w:pStyle w:val="a4"/>
        <w:numPr>
          <w:ilvl w:val="0"/>
          <w:numId w:val="6"/>
        </w:numPr>
        <w:spacing w:line="360" w:lineRule="auto"/>
        <w:ind w:left="-2" w:hanging="425"/>
        <w:jc w:val="both"/>
        <w:rPr>
          <w:rFonts w:ascii="David" w:hAnsi="David" w:cs="David"/>
        </w:rPr>
      </w:pPr>
      <w:r>
        <w:rPr>
          <w:rFonts w:ascii="David" w:hAnsi="David" w:cs="David" w:hint="cs"/>
          <w:rtl/>
        </w:rPr>
        <w:t xml:space="preserve">בית המשפט העליון מתייחס למידת נסיונו של העובד ופעולותיו הקונקרטיות ביחס לסיכון ובע"א 6332/15 </w:t>
      </w:r>
      <w:r>
        <w:rPr>
          <w:rFonts w:ascii="David" w:hAnsi="David" w:cs="David" w:hint="cs"/>
          <w:b/>
          <w:bCs/>
          <w:rtl/>
        </w:rPr>
        <w:t>צאלח נ' עדוי</w:t>
      </w:r>
      <w:r w:rsidRPr="007A6FA4">
        <w:rPr>
          <w:rFonts w:ascii="David" w:hAnsi="David" w:cs="David" w:hint="cs"/>
          <w:b/>
          <w:rtl/>
        </w:rPr>
        <w:t xml:space="preserve"> (פורסם בנבו)</w:t>
      </w:r>
      <w:r>
        <w:rPr>
          <w:rFonts w:ascii="David" w:hAnsi="David" w:cs="David" w:hint="cs"/>
          <w:rtl/>
        </w:rPr>
        <w:t xml:space="preserve"> קובע עי משלא הוכחה טענה בדבר מחאה ביחס להיעדר אמצעי הבטיחות והחלטה חופשית מצד העובד להמשיך לעבוד יש לקבוע אשם תורם בשיעור 20%. (פסקה 13 כב' הש' הנדל).</w:t>
      </w:r>
    </w:p>
    <w:p w14:paraId="512211F6" w14:textId="77777777" w:rsidR="00B02749" w:rsidRPr="00A5775B" w:rsidRDefault="00B02749" w:rsidP="00FC6F1F">
      <w:pPr>
        <w:pStyle w:val="a4"/>
        <w:spacing w:line="360" w:lineRule="auto"/>
        <w:ind w:left="-2"/>
        <w:jc w:val="both"/>
        <w:rPr>
          <w:rFonts w:ascii="David" w:hAnsi="David" w:cs="David"/>
        </w:rPr>
      </w:pPr>
    </w:p>
    <w:p w14:paraId="0110363F" w14:textId="08A0C164" w:rsidR="00B02749" w:rsidRDefault="00B02749" w:rsidP="00FC6F1F">
      <w:pPr>
        <w:pStyle w:val="a4"/>
        <w:numPr>
          <w:ilvl w:val="0"/>
          <w:numId w:val="6"/>
        </w:numPr>
        <w:spacing w:line="360" w:lineRule="auto"/>
        <w:ind w:left="-2" w:hanging="425"/>
        <w:jc w:val="both"/>
        <w:rPr>
          <w:rFonts w:ascii="David" w:hAnsi="David" w:cs="David"/>
        </w:rPr>
      </w:pPr>
      <w:r>
        <w:rPr>
          <w:rFonts w:ascii="David" w:hAnsi="David" w:cs="David" w:hint="cs"/>
          <w:rtl/>
        </w:rPr>
        <w:t xml:space="preserve">בת"א 1886-02 </w:t>
      </w:r>
      <w:r>
        <w:rPr>
          <w:rFonts w:ascii="David" w:hAnsi="David" w:cs="David" w:hint="cs"/>
          <w:b/>
          <w:bCs/>
          <w:rtl/>
        </w:rPr>
        <w:t xml:space="preserve">גרבאן סאלח נ' שעשועי מרסלו בע"מ ואח' </w:t>
      </w:r>
      <w:r>
        <w:rPr>
          <w:rFonts w:ascii="David" w:hAnsi="David" w:cs="David" w:hint="cs"/>
          <w:rtl/>
        </w:rPr>
        <w:t xml:space="preserve">(פורסם בנבו) נדונה תביעת התובע אשר נפגע עת עסק בפירוק וקיפול מתקן "קרוסלה" ועקב תקלה חשמלית המשיכו הרמפות לעלות ולרעוד והתובע החליט לגשת לשקע החשמל לנתק המכשיר ובטרם הספיק נפלה עליו הרמפה והוא נפגע. בית המשפט מייחס לתובע אשם תורם בשיעור 20% וקובע כדלקמן: </w:t>
      </w:r>
    </w:p>
    <w:p w14:paraId="03B9AD6D" w14:textId="5B53D445" w:rsidR="00B02749" w:rsidRDefault="00B02749" w:rsidP="00BA5B85">
      <w:pPr>
        <w:spacing w:line="360" w:lineRule="auto"/>
        <w:ind w:left="-2"/>
        <w:jc w:val="both"/>
        <w:rPr>
          <w:rFonts w:ascii="David" w:hAnsi="David" w:cs="David"/>
          <w:b/>
          <w:bCs/>
          <w:rtl/>
        </w:rPr>
      </w:pPr>
      <w:r w:rsidRPr="00B02749">
        <w:rPr>
          <w:rFonts w:ascii="David" w:hAnsi="David" w:cs="David"/>
          <w:b/>
          <w:bCs/>
          <w:rtl/>
        </w:rPr>
        <w:t xml:space="preserve">" </w:t>
      </w:r>
      <w:r w:rsidR="00BA5B85">
        <w:rPr>
          <w:rFonts w:ascii="David" w:hAnsi="David" w:cs="David" w:hint="cs"/>
          <w:b/>
          <w:bCs/>
          <w:rtl/>
        </w:rPr>
        <w:t>...</w:t>
      </w:r>
      <w:r w:rsidRPr="00B02749">
        <w:rPr>
          <w:rFonts w:ascii="David" w:hAnsi="David" w:cs="David"/>
          <w:b/>
          <w:bCs/>
          <w:rtl/>
        </w:rPr>
        <w:t xml:space="preserve"> לעומת עובד שהוא בעל כישורים וותק כזה או אחר הנותנים בידו לשלוט במידה כזו או אחרת על העבודה.  נראה לי שאדם סביר הנוכח לראות שלוח הבקרה אינו פועל, ולכן הכננת ממשיכה לעבוד וכתוצאה מכך המתקן מתחיל לרעוד, אדם סביר כזה היה מתרחק מהמקום כל עוד נפשו בו, ולא מנסה לקחת סיכון ולהיכנס אל מתחת למתקן הרועד. "</w:t>
      </w:r>
      <w:r w:rsidRPr="008725B8">
        <w:rPr>
          <w:rFonts w:ascii="David" w:hAnsi="David" w:cs="David" w:hint="cs"/>
          <w:rtl/>
        </w:rPr>
        <w:t xml:space="preserve"> (</w:t>
      </w:r>
      <w:r w:rsidR="008725B8">
        <w:rPr>
          <w:rFonts w:ascii="David" w:hAnsi="David" w:cs="David" w:hint="cs"/>
          <w:rtl/>
        </w:rPr>
        <w:t>עמ' 6 ל</w:t>
      </w:r>
      <w:r w:rsidR="008725B8" w:rsidRPr="008725B8">
        <w:rPr>
          <w:rFonts w:ascii="David" w:hAnsi="David" w:cs="David" w:hint="cs"/>
          <w:rtl/>
        </w:rPr>
        <w:t>פסק דינו של כב' סגן הנשיא יוסף בן-חמו מיום 26.5.08)</w:t>
      </w:r>
    </w:p>
    <w:p w14:paraId="2ADE6CA2" w14:textId="77777777" w:rsidR="0091434E" w:rsidRPr="00B02749" w:rsidRDefault="0091434E" w:rsidP="00A5775B">
      <w:pPr>
        <w:spacing w:line="360" w:lineRule="auto"/>
        <w:ind w:left="-2"/>
        <w:jc w:val="both"/>
        <w:rPr>
          <w:rFonts w:ascii="David" w:hAnsi="David" w:cs="David"/>
          <w:b/>
          <w:bCs/>
          <w:rtl/>
        </w:rPr>
      </w:pPr>
    </w:p>
    <w:p w14:paraId="60B650E6" w14:textId="77777777" w:rsidR="00A5775B" w:rsidRDefault="00EE5A31" w:rsidP="00A5775B">
      <w:pPr>
        <w:pStyle w:val="a4"/>
        <w:numPr>
          <w:ilvl w:val="0"/>
          <w:numId w:val="6"/>
        </w:numPr>
        <w:tabs>
          <w:tab w:val="left" w:pos="423"/>
        </w:tabs>
        <w:spacing w:line="360" w:lineRule="auto"/>
        <w:ind w:left="-2" w:hanging="567"/>
        <w:jc w:val="both"/>
        <w:rPr>
          <w:rFonts w:ascii="David" w:hAnsi="David" w:cs="David"/>
          <w:b/>
          <w:bCs/>
        </w:rPr>
      </w:pPr>
      <w:r w:rsidRPr="00EE5A31">
        <w:rPr>
          <w:rFonts w:ascii="David" w:hAnsi="David" w:cs="David" w:hint="cs"/>
          <w:b/>
          <w:bCs/>
          <w:rtl/>
        </w:rPr>
        <w:t xml:space="preserve">לאור האמור לעיל טעה בית המשפט הנכבד קמא </w:t>
      </w:r>
      <w:r w:rsidR="00A5775B">
        <w:rPr>
          <w:rFonts w:ascii="David" w:hAnsi="David" w:cs="David" w:hint="cs"/>
          <w:b/>
          <w:bCs/>
          <w:rtl/>
        </w:rPr>
        <w:t>שלא ייחס</w:t>
      </w:r>
      <w:r w:rsidRPr="00EE5A31">
        <w:rPr>
          <w:rFonts w:ascii="David" w:hAnsi="David" w:cs="David" w:hint="cs"/>
          <w:b/>
          <w:bCs/>
          <w:rtl/>
        </w:rPr>
        <w:t xml:space="preserve"> </w:t>
      </w:r>
      <w:r w:rsidR="00A5775B">
        <w:rPr>
          <w:rFonts w:ascii="David" w:hAnsi="David" w:cs="David" w:hint="cs"/>
          <w:b/>
          <w:bCs/>
          <w:rtl/>
        </w:rPr>
        <w:t>ל</w:t>
      </w:r>
      <w:r w:rsidRPr="00EE5A31">
        <w:rPr>
          <w:rFonts w:ascii="David" w:hAnsi="David" w:cs="David" w:hint="cs"/>
          <w:b/>
          <w:bCs/>
          <w:rtl/>
        </w:rPr>
        <w:t>משיב</w:t>
      </w:r>
      <w:r w:rsidR="00A5775B">
        <w:rPr>
          <w:rFonts w:ascii="David" w:hAnsi="David" w:cs="David" w:hint="cs"/>
          <w:b/>
          <w:bCs/>
          <w:rtl/>
        </w:rPr>
        <w:t xml:space="preserve"> אשם תורם</w:t>
      </w:r>
      <w:r w:rsidRPr="00EE5A31">
        <w:rPr>
          <w:rFonts w:ascii="David" w:hAnsi="David" w:cs="David" w:hint="cs"/>
          <w:b/>
          <w:bCs/>
          <w:rtl/>
        </w:rPr>
        <w:t xml:space="preserve"> גם בהתעלם מהראיה הנוספת המסקנה לפיה אשמו תרם לנזק מצדיק ואף מחייב הטלת אשם תורם </w:t>
      </w:r>
      <w:r w:rsidR="00A5775B">
        <w:rPr>
          <w:rFonts w:ascii="David" w:hAnsi="David" w:cs="David" w:hint="cs"/>
          <w:b/>
          <w:bCs/>
          <w:rtl/>
        </w:rPr>
        <w:t>משמעותי</w:t>
      </w:r>
      <w:r w:rsidRPr="00EE5A31">
        <w:rPr>
          <w:rFonts w:ascii="David" w:hAnsi="David" w:cs="David" w:hint="cs"/>
          <w:b/>
          <w:bCs/>
          <w:rtl/>
        </w:rPr>
        <w:t xml:space="preserve">. </w:t>
      </w:r>
      <w:r w:rsidR="00A5775B">
        <w:rPr>
          <w:rFonts w:ascii="David" w:hAnsi="David" w:cs="David" w:hint="cs"/>
          <w:b/>
          <w:bCs/>
          <w:rtl/>
        </w:rPr>
        <w:t xml:space="preserve"> </w:t>
      </w:r>
    </w:p>
    <w:p w14:paraId="624ABC9F" w14:textId="792377C2" w:rsidR="00EE5A31" w:rsidRPr="00A5775B" w:rsidRDefault="00EE5A31" w:rsidP="00A5775B">
      <w:pPr>
        <w:pStyle w:val="a4"/>
        <w:numPr>
          <w:ilvl w:val="0"/>
          <w:numId w:val="6"/>
        </w:numPr>
        <w:tabs>
          <w:tab w:val="left" w:pos="423"/>
        </w:tabs>
        <w:spacing w:line="360" w:lineRule="auto"/>
        <w:ind w:left="-2" w:hanging="567"/>
        <w:jc w:val="both"/>
        <w:rPr>
          <w:rFonts w:ascii="David" w:hAnsi="David" w:cs="David"/>
          <w:b/>
          <w:bCs/>
        </w:rPr>
      </w:pPr>
      <w:r w:rsidRPr="00A5775B">
        <w:rPr>
          <w:rFonts w:ascii="David" w:hAnsi="David" w:cs="David" w:hint="cs"/>
          <w:b/>
          <w:bCs/>
          <w:rtl/>
        </w:rPr>
        <w:t>המערערים יטענו כי בהינתן הראיה הנוספת אשמו של המשיב עולה אף כדי אשם מלא</w:t>
      </w:r>
      <w:r w:rsidR="00A5775B" w:rsidRPr="00A5775B">
        <w:rPr>
          <w:rFonts w:ascii="David" w:hAnsi="David" w:cs="David" w:hint="cs"/>
          <w:b/>
          <w:bCs/>
          <w:rtl/>
        </w:rPr>
        <w:t>.</w:t>
      </w:r>
    </w:p>
    <w:p w14:paraId="0EAF59B4" w14:textId="77777777" w:rsidR="00E320EC" w:rsidRPr="00E320EC" w:rsidRDefault="00E320EC" w:rsidP="00E320EC">
      <w:pPr>
        <w:pStyle w:val="a4"/>
        <w:rPr>
          <w:rFonts w:ascii="David" w:hAnsi="David" w:cs="David"/>
          <w:b/>
          <w:bCs/>
          <w:rtl/>
        </w:rPr>
      </w:pPr>
    </w:p>
    <w:p w14:paraId="1857B409" w14:textId="77777777" w:rsidR="00324D14" w:rsidRPr="00D83EE1" w:rsidRDefault="00324D14" w:rsidP="00D83EE1">
      <w:pPr>
        <w:spacing w:line="360" w:lineRule="auto"/>
        <w:ind w:left="-428"/>
        <w:jc w:val="both"/>
        <w:rPr>
          <w:rFonts w:ascii="David" w:hAnsi="David" w:cs="David"/>
          <w:b/>
          <w:bCs/>
          <w:sz w:val="28"/>
          <w:szCs w:val="28"/>
          <w:u w:val="single"/>
          <w:rtl/>
        </w:rPr>
      </w:pPr>
      <w:r w:rsidRPr="00D83EE1">
        <w:rPr>
          <w:rFonts w:ascii="David" w:hAnsi="David" w:cs="David"/>
          <w:b/>
          <w:bCs/>
          <w:sz w:val="28"/>
          <w:szCs w:val="28"/>
          <w:u w:val="single"/>
          <w:rtl/>
        </w:rPr>
        <w:t>סוף דבר</w:t>
      </w:r>
    </w:p>
    <w:p w14:paraId="0EBBFF4A" w14:textId="77777777" w:rsidR="005074CA" w:rsidRDefault="005074CA" w:rsidP="005074CA">
      <w:pPr>
        <w:pStyle w:val="a4"/>
        <w:numPr>
          <w:ilvl w:val="0"/>
          <w:numId w:val="6"/>
        </w:numPr>
        <w:spacing w:line="360" w:lineRule="auto"/>
        <w:ind w:left="-2" w:right="-284" w:hanging="425"/>
        <w:jc w:val="both"/>
        <w:rPr>
          <w:rFonts w:ascii="David" w:hAnsi="David" w:cs="David"/>
        </w:rPr>
      </w:pPr>
      <w:r w:rsidRPr="005074CA">
        <w:rPr>
          <w:rFonts w:ascii="David" w:hAnsi="David" w:cs="David" w:hint="cs"/>
          <w:rtl/>
        </w:rPr>
        <w:t>לנוכח כל האמור לעיל, מתבקש בית המשפט הנכבד לקבל את הערעור ולבטל את פסק הדין של בית המשפט הנכבד קמא מיום 12 ביוני 2025</w:t>
      </w:r>
      <w:r>
        <w:rPr>
          <w:rFonts w:ascii="David" w:hAnsi="David" w:cs="David" w:hint="cs"/>
          <w:rtl/>
        </w:rPr>
        <w:t>.</w:t>
      </w:r>
    </w:p>
    <w:p w14:paraId="3665F199" w14:textId="77777777" w:rsidR="005074CA" w:rsidRDefault="005074CA" w:rsidP="005074CA">
      <w:pPr>
        <w:pStyle w:val="a4"/>
        <w:spacing w:line="360" w:lineRule="auto"/>
        <w:ind w:left="-2" w:right="-284"/>
        <w:jc w:val="both"/>
        <w:rPr>
          <w:rFonts w:ascii="David" w:hAnsi="David" w:cs="David"/>
        </w:rPr>
      </w:pPr>
    </w:p>
    <w:p w14:paraId="1E27DE02" w14:textId="3E6B0453" w:rsidR="005074CA" w:rsidRPr="005074CA" w:rsidRDefault="005074CA" w:rsidP="005074CA">
      <w:pPr>
        <w:pStyle w:val="a4"/>
        <w:numPr>
          <w:ilvl w:val="0"/>
          <w:numId w:val="6"/>
        </w:numPr>
        <w:spacing w:line="360" w:lineRule="auto"/>
        <w:ind w:left="-2" w:right="-284" w:hanging="425"/>
        <w:jc w:val="both"/>
        <w:rPr>
          <w:rFonts w:ascii="David" w:hAnsi="David" w:cs="David"/>
        </w:rPr>
      </w:pPr>
      <w:r>
        <w:rPr>
          <w:rFonts w:ascii="David" w:hAnsi="David" w:cs="David" w:hint="cs"/>
          <w:rtl/>
        </w:rPr>
        <w:t>כן מתבקש בית המשפט הנכבד</w:t>
      </w:r>
      <w:r w:rsidRPr="005074CA">
        <w:rPr>
          <w:rFonts w:ascii="David" w:hAnsi="David" w:cs="David" w:hint="cs"/>
          <w:rtl/>
        </w:rPr>
        <w:t xml:space="preserve"> לדחות את התביעה בבית המשפט הנכבד קמא כנגד הנתבע 3 הוא המערער 2 תוך חיוב המשיבים בהוצאות המערערים הן בערכאה נכבדה זו והן בבית המשפט הנכבד קמא וכן בשכ"ט באי כוחם בצירוף שכ"ט עו"ד ומע"מ כדין.</w:t>
      </w:r>
    </w:p>
    <w:p w14:paraId="1057B7F0" w14:textId="58E95795" w:rsidR="00C6169C" w:rsidRPr="00EE5A31" w:rsidRDefault="00C6169C" w:rsidP="00A3516A">
      <w:pPr>
        <w:spacing w:line="360" w:lineRule="auto"/>
        <w:rPr>
          <w:rFonts w:cs="David"/>
          <w:b/>
          <w:bCs/>
          <w:sz w:val="26"/>
          <w:szCs w:val="26"/>
          <w:rtl/>
        </w:rPr>
      </w:pP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sz w:val="26"/>
          <w:szCs w:val="26"/>
          <w:rtl/>
        </w:rPr>
        <w:tab/>
      </w:r>
      <w:r w:rsidRPr="00C163E1">
        <w:rPr>
          <w:rFonts w:cs="David"/>
          <w:sz w:val="26"/>
          <w:szCs w:val="26"/>
          <w:rtl/>
        </w:rPr>
        <w:tab/>
      </w:r>
      <w:r w:rsidR="00A3516A" w:rsidRPr="00C163E1">
        <w:rPr>
          <w:rFonts w:cs="David"/>
          <w:sz w:val="26"/>
          <w:szCs w:val="26"/>
          <w:rtl/>
        </w:rPr>
        <w:tab/>
      </w:r>
      <w:r w:rsidR="00A3516A" w:rsidRPr="00EE5A31">
        <w:rPr>
          <w:rFonts w:cs="David"/>
          <w:b/>
          <w:bCs/>
          <w:sz w:val="26"/>
          <w:szCs w:val="26"/>
          <w:rtl/>
        </w:rPr>
        <w:tab/>
      </w:r>
      <w:r w:rsidR="00A3516A" w:rsidRPr="00EE5A31">
        <w:rPr>
          <w:rFonts w:cs="David"/>
          <w:b/>
          <w:bCs/>
          <w:sz w:val="26"/>
          <w:szCs w:val="26"/>
          <w:rtl/>
        </w:rPr>
        <w:tab/>
      </w:r>
      <w:r w:rsidR="00A3516A" w:rsidRPr="00EE5A31">
        <w:rPr>
          <w:rFonts w:cs="David"/>
          <w:b/>
          <w:bCs/>
          <w:sz w:val="26"/>
          <w:szCs w:val="26"/>
          <w:rtl/>
        </w:rPr>
        <w:tab/>
      </w:r>
      <w:r w:rsidR="00A3516A" w:rsidRPr="00EE5A31">
        <w:rPr>
          <w:rFonts w:cs="David"/>
          <w:b/>
          <w:bCs/>
          <w:sz w:val="26"/>
          <w:szCs w:val="26"/>
          <w:rtl/>
        </w:rPr>
        <w:tab/>
      </w:r>
      <w:r w:rsidR="00A3516A" w:rsidRPr="00EE5A31">
        <w:rPr>
          <w:rFonts w:cs="David"/>
          <w:b/>
          <w:bCs/>
          <w:sz w:val="26"/>
          <w:szCs w:val="26"/>
          <w:rtl/>
        </w:rPr>
        <w:tab/>
      </w:r>
      <w:r w:rsidR="00A3516A" w:rsidRPr="00EE5A31">
        <w:rPr>
          <w:rFonts w:cs="David"/>
          <w:b/>
          <w:bCs/>
          <w:sz w:val="26"/>
          <w:szCs w:val="26"/>
          <w:rtl/>
        </w:rPr>
        <w:tab/>
      </w:r>
      <w:r w:rsidR="00A3516A" w:rsidRPr="00EE5A31">
        <w:rPr>
          <w:rFonts w:cs="David"/>
          <w:b/>
          <w:bCs/>
          <w:sz w:val="26"/>
          <w:szCs w:val="26"/>
          <w:rtl/>
        </w:rPr>
        <w:tab/>
      </w:r>
      <w:r w:rsidR="00A3516A" w:rsidRPr="00EE5A31">
        <w:rPr>
          <w:rFonts w:cs="David"/>
          <w:b/>
          <w:bCs/>
          <w:sz w:val="26"/>
          <w:szCs w:val="26"/>
          <w:rtl/>
        </w:rPr>
        <w:tab/>
      </w:r>
      <w:r w:rsidR="00A3516A" w:rsidRPr="00EE5A31">
        <w:rPr>
          <w:rFonts w:cs="David"/>
          <w:b/>
          <w:bCs/>
          <w:sz w:val="26"/>
          <w:szCs w:val="26"/>
          <w:rtl/>
        </w:rPr>
        <w:tab/>
      </w:r>
      <w:r w:rsidR="00A3516A" w:rsidRPr="00EE5A31">
        <w:rPr>
          <w:rFonts w:cs="David"/>
          <w:b/>
          <w:bCs/>
          <w:sz w:val="26"/>
          <w:szCs w:val="26"/>
          <w:rtl/>
        </w:rPr>
        <w:tab/>
      </w:r>
      <w:r w:rsidR="00A3516A" w:rsidRPr="00EE5A31">
        <w:rPr>
          <w:rFonts w:cs="David"/>
          <w:b/>
          <w:bCs/>
          <w:sz w:val="26"/>
          <w:szCs w:val="26"/>
          <w:rtl/>
        </w:rPr>
        <w:tab/>
      </w:r>
      <w:r w:rsidRPr="00EE5A31">
        <w:rPr>
          <w:rFonts w:cs="David" w:hint="cs"/>
          <w:b/>
          <w:bCs/>
          <w:sz w:val="26"/>
          <w:szCs w:val="26"/>
          <w:rtl/>
        </w:rPr>
        <w:t>_______________________</w:t>
      </w:r>
    </w:p>
    <w:p w14:paraId="10381AF4" w14:textId="13FD1A30" w:rsidR="00C6169C" w:rsidRPr="00EE5A31" w:rsidRDefault="00C6169C" w:rsidP="00A3516A">
      <w:pPr>
        <w:spacing w:line="360" w:lineRule="auto"/>
        <w:rPr>
          <w:rFonts w:ascii="David" w:hAnsi="David" w:cs="David"/>
          <w:b/>
          <w:bCs/>
          <w:rtl/>
        </w:rPr>
      </w:pPr>
      <w:r w:rsidRPr="00EE5A31">
        <w:rPr>
          <w:rFonts w:cs="David"/>
          <w:b/>
          <w:bCs/>
          <w:sz w:val="26"/>
          <w:szCs w:val="26"/>
          <w:rtl/>
        </w:rPr>
        <w:tab/>
      </w:r>
      <w:r w:rsidRPr="00EE5A31">
        <w:rPr>
          <w:rFonts w:cs="David"/>
          <w:b/>
          <w:bCs/>
          <w:sz w:val="26"/>
          <w:szCs w:val="26"/>
          <w:rtl/>
        </w:rPr>
        <w:tab/>
      </w:r>
      <w:r w:rsidRPr="00EE5A31">
        <w:rPr>
          <w:rFonts w:cs="David"/>
          <w:b/>
          <w:bCs/>
          <w:sz w:val="26"/>
          <w:szCs w:val="26"/>
          <w:rtl/>
        </w:rPr>
        <w:tab/>
      </w:r>
      <w:r w:rsidRPr="00EE5A31">
        <w:rPr>
          <w:rFonts w:cs="David"/>
          <w:b/>
          <w:bCs/>
          <w:sz w:val="26"/>
          <w:szCs w:val="26"/>
          <w:rtl/>
        </w:rPr>
        <w:tab/>
      </w:r>
      <w:r w:rsidRPr="00EE5A31">
        <w:rPr>
          <w:rFonts w:cs="David"/>
          <w:b/>
          <w:bCs/>
          <w:sz w:val="26"/>
          <w:szCs w:val="26"/>
          <w:rtl/>
        </w:rPr>
        <w:tab/>
      </w:r>
      <w:r w:rsidRPr="00EE5A31">
        <w:rPr>
          <w:rFonts w:cs="David"/>
          <w:b/>
          <w:bCs/>
          <w:sz w:val="26"/>
          <w:szCs w:val="26"/>
          <w:rtl/>
        </w:rPr>
        <w:tab/>
      </w:r>
      <w:r w:rsidRPr="00EE5A31">
        <w:rPr>
          <w:rFonts w:cs="David"/>
          <w:b/>
          <w:bCs/>
          <w:sz w:val="26"/>
          <w:szCs w:val="26"/>
          <w:rtl/>
        </w:rPr>
        <w:tab/>
      </w:r>
      <w:r w:rsidRPr="00EE5A31">
        <w:rPr>
          <w:rFonts w:cs="David"/>
          <w:b/>
          <w:bCs/>
          <w:sz w:val="26"/>
          <w:szCs w:val="26"/>
          <w:rtl/>
        </w:rPr>
        <w:tab/>
      </w:r>
      <w:r w:rsidRPr="00EE5A31">
        <w:rPr>
          <w:rFonts w:cs="David" w:hint="cs"/>
          <w:b/>
          <w:bCs/>
          <w:sz w:val="26"/>
          <w:szCs w:val="26"/>
          <w:rtl/>
        </w:rPr>
        <w:t xml:space="preserve">   </w:t>
      </w:r>
      <w:r w:rsidR="00A276D9" w:rsidRPr="00EE5A31">
        <w:rPr>
          <w:rFonts w:cs="David" w:hint="cs"/>
          <w:b/>
          <w:bCs/>
          <w:sz w:val="26"/>
          <w:szCs w:val="26"/>
          <w:rtl/>
        </w:rPr>
        <w:t xml:space="preserve">    </w:t>
      </w:r>
      <w:r w:rsidR="008C2F49" w:rsidRPr="00EE5A31">
        <w:rPr>
          <w:rFonts w:cs="David" w:hint="cs"/>
          <w:b/>
          <w:bCs/>
          <w:sz w:val="26"/>
          <w:szCs w:val="26"/>
          <w:rtl/>
        </w:rPr>
        <w:t xml:space="preserve">   </w:t>
      </w:r>
      <w:r w:rsidR="008C2F49" w:rsidRPr="00EE5A31">
        <w:rPr>
          <w:rFonts w:ascii="David" w:hAnsi="David" w:cs="David" w:hint="cs"/>
          <w:b/>
          <w:bCs/>
          <w:rtl/>
        </w:rPr>
        <w:t xml:space="preserve">  </w:t>
      </w:r>
      <w:r w:rsidR="008725B8" w:rsidRPr="00EE5A31">
        <w:rPr>
          <w:rFonts w:ascii="David" w:hAnsi="David" w:cs="David" w:hint="cs"/>
          <w:b/>
          <w:bCs/>
          <w:rtl/>
        </w:rPr>
        <w:t>אריאל פרייברג</w:t>
      </w:r>
      <w:r w:rsidRPr="00EE5A31">
        <w:rPr>
          <w:rFonts w:ascii="David" w:hAnsi="David" w:cs="David"/>
          <w:b/>
          <w:bCs/>
          <w:rtl/>
        </w:rPr>
        <w:t>, עו"ד</w:t>
      </w:r>
    </w:p>
    <w:p w14:paraId="536EAEEC" w14:textId="6FC9D992" w:rsidR="00C6169C" w:rsidRDefault="00C6169C" w:rsidP="00A3516A">
      <w:pPr>
        <w:spacing w:line="360" w:lineRule="auto"/>
        <w:rPr>
          <w:rFonts w:ascii="David" w:hAnsi="David" w:cs="David"/>
          <w:b/>
          <w:bCs/>
          <w:rtl/>
        </w:rPr>
      </w:pPr>
      <w:r w:rsidRPr="00EE5A31">
        <w:rPr>
          <w:rFonts w:ascii="David" w:hAnsi="David" w:cs="David"/>
          <w:b/>
          <w:bCs/>
          <w:rtl/>
        </w:rPr>
        <w:tab/>
      </w:r>
      <w:r w:rsidRPr="00EE5A31">
        <w:rPr>
          <w:rFonts w:ascii="David" w:hAnsi="David" w:cs="David"/>
          <w:b/>
          <w:bCs/>
          <w:rtl/>
        </w:rPr>
        <w:tab/>
      </w:r>
      <w:r w:rsidRPr="00EE5A31">
        <w:rPr>
          <w:rFonts w:ascii="David" w:hAnsi="David" w:cs="David"/>
          <w:b/>
          <w:bCs/>
          <w:rtl/>
        </w:rPr>
        <w:tab/>
      </w:r>
      <w:r w:rsidRPr="00EE5A31">
        <w:rPr>
          <w:rFonts w:ascii="David" w:hAnsi="David" w:cs="David"/>
          <w:b/>
          <w:bCs/>
          <w:rtl/>
        </w:rPr>
        <w:tab/>
      </w:r>
      <w:r w:rsidRPr="00EE5A31">
        <w:rPr>
          <w:rFonts w:ascii="David" w:hAnsi="David" w:cs="David"/>
          <w:b/>
          <w:bCs/>
          <w:rtl/>
        </w:rPr>
        <w:tab/>
      </w:r>
      <w:r w:rsidRPr="00EE5A31">
        <w:rPr>
          <w:rFonts w:ascii="David" w:hAnsi="David" w:cs="David"/>
          <w:b/>
          <w:bCs/>
          <w:rtl/>
        </w:rPr>
        <w:tab/>
      </w:r>
      <w:r w:rsidRPr="00EE5A31">
        <w:rPr>
          <w:rFonts w:ascii="David" w:hAnsi="David" w:cs="David"/>
          <w:b/>
          <w:bCs/>
          <w:rtl/>
        </w:rPr>
        <w:tab/>
      </w:r>
      <w:r w:rsidRPr="00EE5A31">
        <w:rPr>
          <w:rFonts w:ascii="David" w:hAnsi="David" w:cs="David"/>
          <w:b/>
          <w:bCs/>
          <w:rtl/>
        </w:rPr>
        <w:tab/>
        <w:t xml:space="preserve">           </w:t>
      </w:r>
      <w:r w:rsidR="0044123E" w:rsidRPr="00EE5A31">
        <w:rPr>
          <w:rFonts w:ascii="David" w:hAnsi="David" w:cs="David"/>
          <w:b/>
          <w:bCs/>
          <w:rtl/>
        </w:rPr>
        <w:t xml:space="preserve"> </w:t>
      </w:r>
      <w:r w:rsidR="00D83EE1">
        <w:rPr>
          <w:rFonts w:ascii="David" w:hAnsi="David" w:cs="David" w:hint="cs"/>
          <w:b/>
          <w:bCs/>
          <w:rtl/>
        </w:rPr>
        <w:t xml:space="preserve">   </w:t>
      </w:r>
      <w:r w:rsidRPr="00EE5A31">
        <w:rPr>
          <w:rFonts w:ascii="David" w:hAnsi="David" w:cs="David"/>
          <w:b/>
          <w:bCs/>
          <w:rtl/>
        </w:rPr>
        <w:t xml:space="preserve"> ב"כ ה</w:t>
      </w:r>
      <w:r w:rsidR="00D07816" w:rsidRPr="00EE5A31">
        <w:rPr>
          <w:rFonts w:ascii="David" w:hAnsi="David" w:cs="David"/>
          <w:b/>
          <w:bCs/>
          <w:rtl/>
        </w:rPr>
        <w:t>מ</w:t>
      </w:r>
      <w:r w:rsidR="00703A0F" w:rsidRPr="00EE5A31">
        <w:rPr>
          <w:rFonts w:ascii="David" w:hAnsi="David" w:cs="David" w:hint="cs"/>
          <w:b/>
          <w:bCs/>
          <w:rtl/>
        </w:rPr>
        <w:t>ערער</w:t>
      </w:r>
      <w:r w:rsidR="008725B8" w:rsidRPr="00EE5A31">
        <w:rPr>
          <w:rFonts w:ascii="David" w:hAnsi="David" w:cs="David" w:hint="cs"/>
          <w:b/>
          <w:bCs/>
          <w:rtl/>
        </w:rPr>
        <w:t>ים</w:t>
      </w:r>
    </w:p>
    <w:p w14:paraId="61B96A26" w14:textId="77777777" w:rsidR="00A5775B" w:rsidRDefault="00A5775B" w:rsidP="00A3516A">
      <w:pPr>
        <w:spacing w:line="360" w:lineRule="auto"/>
        <w:rPr>
          <w:rFonts w:ascii="David" w:hAnsi="David" w:cs="David"/>
          <w:b/>
          <w:bCs/>
          <w:rtl/>
        </w:rPr>
      </w:pPr>
    </w:p>
    <w:p w14:paraId="31A25CBB" w14:textId="77777777" w:rsidR="00A5775B" w:rsidRDefault="00A5775B" w:rsidP="00A3516A">
      <w:pPr>
        <w:spacing w:line="360" w:lineRule="auto"/>
        <w:rPr>
          <w:rFonts w:ascii="David" w:hAnsi="David" w:cs="David"/>
          <w:b/>
          <w:bCs/>
          <w:rtl/>
        </w:rPr>
      </w:pPr>
    </w:p>
    <w:p w14:paraId="021F7827" w14:textId="45EC62FB" w:rsidR="00A5775B" w:rsidRPr="00D83EE1" w:rsidRDefault="0078400E" w:rsidP="00A3516A">
      <w:pPr>
        <w:spacing w:line="360" w:lineRule="auto"/>
        <w:rPr>
          <w:rFonts w:ascii="David" w:hAnsi="David" w:cs="David"/>
          <w:b/>
          <w:bCs/>
          <w:u w:val="single"/>
          <w:rtl/>
        </w:rPr>
      </w:pPr>
      <w:r w:rsidRPr="00D83EE1">
        <w:rPr>
          <w:rFonts w:ascii="David" w:hAnsi="David" w:cs="David" w:hint="cs"/>
          <w:b/>
          <w:bCs/>
          <w:u w:val="single"/>
          <w:rtl/>
        </w:rPr>
        <w:lastRenderedPageBreak/>
        <w:t>נספחים כחלק בלתי נפרד מהודעת ערעור זו:</w:t>
      </w:r>
    </w:p>
    <w:p w14:paraId="63549094" w14:textId="34B7DBC8" w:rsidR="00D12297" w:rsidRDefault="00D12297" w:rsidP="0078400E">
      <w:pPr>
        <w:spacing w:line="360" w:lineRule="auto"/>
        <w:rPr>
          <w:rFonts w:ascii="David" w:hAnsi="David" w:cs="David"/>
          <w:rtl/>
        </w:rPr>
      </w:pPr>
      <w:r w:rsidRPr="00C163E1">
        <w:rPr>
          <w:rFonts w:ascii="David" w:hAnsi="David" w:cs="David" w:hint="cs"/>
          <w:rtl/>
        </w:rPr>
        <w:t xml:space="preserve">פסק </w:t>
      </w:r>
      <w:r w:rsidR="0078400E">
        <w:rPr>
          <w:rFonts w:ascii="David" w:hAnsi="David" w:cs="David" w:hint="cs"/>
          <w:rtl/>
        </w:rPr>
        <w:t xml:space="preserve">דינו של בית המשפט קמא - </w:t>
      </w:r>
      <w:r w:rsidRPr="00C163E1">
        <w:rPr>
          <w:rFonts w:ascii="David" w:hAnsi="David" w:cs="David" w:hint="cs"/>
          <w:rtl/>
        </w:rPr>
        <w:t xml:space="preserve"> </w:t>
      </w:r>
      <w:r w:rsidRPr="0078400E">
        <w:rPr>
          <w:rFonts w:ascii="David" w:hAnsi="David" w:cs="David" w:hint="cs"/>
          <w:b/>
          <w:bCs/>
          <w:u w:val="single"/>
          <w:rtl/>
        </w:rPr>
        <w:t>נספח</w:t>
      </w:r>
      <w:r w:rsidR="0078400E" w:rsidRPr="0078400E">
        <w:rPr>
          <w:rFonts w:ascii="David" w:hAnsi="David" w:cs="David" w:hint="cs"/>
          <w:u w:val="single"/>
          <w:rtl/>
        </w:rPr>
        <w:t xml:space="preserve"> 1</w:t>
      </w:r>
    </w:p>
    <w:p w14:paraId="303FE317" w14:textId="63C56238" w:rsidR="00D83EE1" w:rsidRDefault="00D83EE1" w:rsidP="0078400E">
      <w:pPr>
        <w:spacing w:line="360" w:lineRule="auto"/>
        <w:rPr>
          <w:rFonts w:ascii="David" w:hAnsi="David" w:cs="David"/>
          <w:rtl/>
        </w:rPr>
      </w:pPr>
      <w:r>
        <w:rPr>
          <w:rFonts w:ascii="David" w:hAnsi="David" w:cs="David" w:hint="cs"/>
          <w:rtl/>
        </w:rPr>
        <w:t xml:space="preserve">פרוטוקול והחלטה מתאריך 30.3.2022 </w:t>
      </w:r>
      <w:r>
        <w:rPr>
          <w:rFonts w:ascii="David" w:hAnsi="David" w:cs="David"/>
          <w:rtl/>
        </w:rPr>
        <w:t>–</w:t>
      </w:r>
      <w:r>
        <w:rPr>
          <w:rFonts w:ascii="David" w:hAnsi="David" w:cs="David" w:hint="cs"/>
          <w:rtl/>
        </w:rPr>
        <w:t xml:space="preserve"> </w:t>
      </w:r>
      <w:r w:rsidRPr="00D50BB6">
        <w:rPr>
          <w:rFonts w:ascii="David" w:hAnsi="David" w:cs="David" w:hint="cs"/>
          <w:b/>
          <w:bCs/>
          <w:u w:val="single"/>
          <w:rtl/>
        </w:rPr>
        <w:t>נספח 2</w:t>
      </w:r>
    </w:p>
    <w:p w14:paraId="29F6FAAD" w14:textId="6B705073" w:rsidR="00D12297" w:rsidRPr="007A1361" w:rsidRDefault="00D12297" w:rsidP="0078400E">
      <w:pPr>
        <w:pStyle w:val="a4"/>
        <w:spacing w:line="360" w:lineRule="auto"/>
        <w:ind w:left="-2"/>
        <w:rPr>
          <w:rFonts w:ascii="David" w:hAnsi="David" w:cs="David"/>
          <w:b/>
          <w:bCs/>
          <w:rtl/>
        </w:rPr>
      </w:pPr>
      <w:r w:rsidRPr="00C762A8">
        <w:rPr>
          <w:rFonts w:ascii="David" w:hAnsi="David" w:cs="David" w:hint="cs"/>
          <w:rtl/>
        </w:rPr>
        <w:t xml:space="preserve">פרוטוקול הדיון והחלטה מתאריך 2.1.2024 </w:t>
      </w:r>
      <w:r w:rsidR="0078400E">
        <w:rPr>
          <w:rFonts w:ascii="David" w:hAnsi="David" w:cs="David" w:hint="cs"/>
          <w:rtl/>
        </w:rPr>
        <w:t xml:space="preserve"> - </w:t>
      </w:r>
      <w:r w:rsidRPr="00C762A8">
        <w:rPr>
          <w:rFonts w:ascii="David" w:hAnsi="David" w:cs="David" w:hint="cs"/>
          <w:b/>
          <w:bCs/>
          <w:u w:val="single"/>
          <w:rtl/>
        </w:rPr>
        <w:t xml:space="preserve">נספח </w:t>
      </w:r>
      <w:r w:rsidR="00D83EE1">
        <w:rPr>
          <w:rFonts w:ascii="David" w:hAnsi="David" w:cs="David" w:hint="cs"/>
          <w:b/>
          <w:bCs/>
          <w:u w:val="single"/>
          <w:rtl/>
        </w:rPr>
        <w:t>3</w:t>
      </w:r>
    </w:p>
    <w:p w14:paraId="3A3F3608" w14:textId="7E814DE0" w:rsidR="00D83EE1" w:rsidRPr="00C163E1" w:rsidRDefault="00D83EE1" w:rsidP="0078400E">
      <w:pPr>
        <w:spacing w:line="360" w:lineRule="auto"/>
        <w:rPr>
          <w:rFonts w:ascii="David" w:hAnsi="David" w:cs="David"/>
          <w:rtl/>
        </w:rPr>
      </w:pPr>
      <w:r>
        <w:rPr>
          <w:rFonts w:ascii="David" w:hAnsi="David" w:cs="David" w:hint="cs"/>
          <w:rtl/>
        </w:rPr>
        <w:t xml:space="preserve">פרוטוקול והחלטה מתאריך 30.4.24 </w:t>
      </w:r>
      <w:r>
        <w:rPr>
          <w:rFonts w:ascii="David" w:hAnsi="David" w:cs="David"/>
          <w:rtl/>
        </w:rPr>
        <w:t>–</w:t>
      </w:r>
      <w:r>
        <w:rPr>
          <w:rFonts w:ascii="David" w:hAnsi="David" w:cs="David" w:hint="cs"/>
          <w:rtl/>
        </w:rPr>
        <w:t xml:space="preserve"> </w:t>
      </w:r>
      <w:r w:rsidRPr="00D50BB6">
        <w:rPr>
          <w:rFonts w:ascii="David" w:hAnsi="David" w:cs="David" w:hint="cs"/>
          <w:b/>
          <w:bCs/>
          <w:u w:val="single"/>
          <w:rtl/>
        </w:rPr>
        <w:t>נספח 4</w:t>
      </w:r>
    </w:p>
    <w:p w14:paraId="0FB289D2" w14:textId="1F59F3E1" w:rsidR="00D12297" w:rsidRPr="00C762A8" w:rsidRDefault="00D12297" w:rsidP="0078400E">
      <w:pPr>
        <w:spacing w:line="360" w:lineRule="auto"/>
        <w:ind w:left="-2"/>
        <w:rPr>
          <w:rFonts w:ascii="David" w:hAnsi="David" w:cs="David"/>
          <w:b/>
          <w:bCs/>
          <w:rtl/>
        </w:rPr>
      </w:pPr>
      <w:r>
        <w:rPr>
          <w:rFonts w:ascii="David" w:hAnsi="David" w:cs="David" w:hint="cs"/>
          <w:rtl/>
        </w:rPr>
        <w:t>תמליל</w:t>
      </w:r>
      <w:r w:rsidR="00D83EE1">
        <w:rPr>
          <w:rFonts w:ascii="David" w:hAnsi="David" w:cs="David" w:hint="cs"/>
          <w:rtl/>
        </w:rPr>
        <w:t>/פרוטוקול</w:t>
      </w:r>
      <w:r>
        <w:rPr>
          <w:rFonts w:ascii="David" w:hAnsi="David" w:cs="David" w:hint="cs"/>
          <w:rtl/>
        </w:rPr>
        <w:t xml:space="preserve"> דיון ההוכחות מתאריך 5/1/25</w:t>
      </w:r>
      <w:r w:rsidRPr="00C762A8">
        <w:rPr>
          <w:rFonts w:ascii="David" w:hAnsi="David" w:cs="David" w:hint="cs"/>
          <w:rtl/>
        </w:rPr>
        <w:t xml:space="preserve"> </w:t>
      </w:r>
      <w:r w:rsidR="0078400E">
        <w:rPr>
          <w:rFonts w:ascii="David" w:hAnsi="David" w:cs="David" w:hint="cs"/>
          <w:rtl/>
        </w:rPr>
        <w:t xml:space="preserve">- </w:t>
      </w:r>
      <w:r w:rsidRPr="00C762A8">
        <w:rPr>
          <w:rFonts w:ascii="David" w:hAnsi="David" w:cs="David" w:hint="cs"/>
          <w:rtl/>
        </w:rPr>
        <w:t xml:space="preserve"> </w:t>
      </w:r>
      <w:r w:rsidRPr="00C762A8">
        <w:rPr>
          <w:rFonts w:ascii="David" w:hAnsi="David" w:cs="David" w:hint="cs"/>
          <w:b/>
          <w:bCs/>
          <w:u w:val="single"/>
          <w:rtl/>
        </w:rPr>
        <w:t xml:space="preserve">נספח </w:t>
      </w:r>
      <w:r w:rsidR="00D83EE1">
        <w:rPr>
          <w:rFonts w:ascii="David" w:hAnsi="David" w:cs="David" w:hint="cs"/>
          <w:b/>
          <w:bCs/>
          <w:u w:val="single"/>
          <w:rtl/>
        </w:rPr>
        <w:t>5</w:t>
      </w:r>
    </w:p>
    <w:p w14:paraId="7F984A7A" w14:textId="297EB91A" w:rsidR="00D12297" w:rsidRDefault="00D12297" w:rsidP="0078400E">
      <w:pPr>
        <w:pStyle w:val="a4"/>
        <w:spacing w:line="360" w:lineRule="auto"/>
        <w:ind w:left="-2"/>
        <w:rPr>
          <w:rFonts w:ascii="David" w:hAnsi="David" w:cs="David"/>
          <w:rtl/>
        </w:rPr>
      </w:pPr>
      <w:r>
        <w:rPr>
          <w:rFonts w:ascii="David" w:hAnsi="David" w:cs="David" w:hint="cs"/>
          <w:rtl/>
        </w:rPr>
        <w:t>טופסי התביעה למוסד לביטוח לאומי</w:t>
      </w:r>
      <w:r w:rsidR="0078400E">
        <w:rPr>
          <w:rFonts w:ascii="David" w:hAnsi="David" w:cs="David" w:hint="cs"/>
          <w:rtl/>
        </w:rPr>
        <w:t xml:space="preserve"> -</w:t>
      </w:r>
      <w:r>
        <w:rPr>
          <w:rFonts w:ascii="David" w:hAnsi="David" w:cs="David" w:hint="cs"/>
          <w:rtl/>
        </w:rPr>
        <w:t xml:space="preserve"> </w:t>
      </w:r>
      <w:r w:rsidRPr="00C762A8">
        <w:rPr>
          <w:rFonts w:ascii="David" w:hAnsi="David" w:cs="David" w:hint="cs"/>
          <w:b/>
          <w:bCs/>
          <w:u w:val="single"/>
          <w:rtl/>
        </w:rPr>
        <w:t xml:space="preserve">נספח </w:t>
      </w:r>
      <w:r w:rsidR="00D50BB6">
        <w:rPr>
          <w:rFonts w:ascii="David" w:hAnsi="David" w:cs="David" w:hint="cs"/>
          <w:b/>
          <w:bCs/>
          <w:u w:val="single"/>
          <w:rtl/>
        </w:rPr>
        <w:t>6</w:t>
      </w:r>
    </w:p>
    <w:p w14:paraId="344A7D97" w14:textId="7D8FD14A" w:rsidR="00D83EE1" w:rsidRDefault="00D83EE1" w:rsidP="0078400E">
      <w:pPr>
        <w:pStyle w:val="a4"/>
        <w:spacing w:line="360" w:lineRule="auto"/>
        <w:ind w:left="-2"/>
        <w:rPr>
          <w:rFonts w:ascii="David" w:hAnsi="David" w:cs="David"/>
          <w:rtl/>
        </w:rPr>
      </w:pPr>
      <w:r>
        <w:rPr>
          <w:rFonts w:ascii="David" w:hAnsi="David" w:cs="David" w:hint="cs"/>
          <w:rtl/>
        </w:rPr>
        <w:t xml:space="preserve">חישוב השכר בתוספת הצמדה </w:t>
      </w:r>
      <w:r>
        <w:rPr>
          <w:rFonts w:ascii="David" w:hAnsi="David" w:cs="David"/>
          <w:rtl/>
        </w:rPr>
        <w:t>–</w:t>
      </w:r>
      <w:r>
        <w:rPr>
          <w:rFonts w:ascii="David" w:hAnsi="David" w:cs="David" w:hint="cs"/>
          <w:rtl/>
        </w:rPr>
        <w:t xml:space="preserve"> </w:t>
      </w:r>
      <w:r w:rsidRPr="00D50BB6">
        <w:rPr>
          <w:rFonts w:ascii="David" w:hAnsi="David" w:cs="David" w:hint="cs"/>
          <w:b/>
          <w:bCs/>
          <w:u w:val="single"/>
          <w:rtl/>
        </w:rPr>
        <w:t xml:space="preserve">נספח </w:t>
      </w:r>
      <w:r w:rsidR="00D50BB6" w:rsidRPr="00D50BB6">
        <w:rPr>
          <w:rFonts w:ascii="David" w:hAnsi="David" w:cs="David" w:hint="cs"/>
          <w:b/>
          <w:bCs/>
          <w:u w:val="single"/>
          <w:rtl/>
        </w:rPr>
        <w:t>7</w:t>
      </w:r>
    </w:p>
    <w:p w14:paraId="20666AFC" w14:textId="38391454" w:rsidR="00D83EE1" w:rsidRPr="00D83EE1" w:rsidRDefault="00D83EE1" w:rsidP="0078400E">
      <w:pPr>
        <w:pStyle w:val="a4"/>
        <w:spacing w:line="360" w:lineRule="auto"/>
        <w:ind w:left="-2"/>
        <w:rPr>
          <w:rFonts w:ascii="David" w:hAnsi="David" w:cs="David"/>
          <w:b/>
          <w:bCs/>
          <w:u w:val="single"/>
          <w:rtl/>
        </w:rPr>
      </w:pPr>
      <w:r>
        <w:rPr>
          <w:rFonts w:ascii="David" w:hAnsi="David" w:cs="David" w:hint="cs"/>
          <w:rtl/>
        </w:rPr>
        <w:t xml:space="preserve">כתב התביעה המתוקן </w:t>
      </w:r>
      <w:r>
        <w:rPr>
          <w:rFonts w:ascii="David" w:hAnsi="David" w:cs="David"/>
          <w:rtl/>
        </w:rPr>
        <w:t>–</w:t>
      </w:r>
      <w:r>
        <w:rPr>
          <w:rFonts w:ascii="David" w:hAnsi="David" w:cs="David" w:hint="cs"/>
          <w:rtl/>
        </w:rPr>
        <w:t xml:space="preserve"> </w:t>
      </w:r>
      <w:r>
        <w:rPr>
          <w:rFonts w:ascii="David" w:hAnsi="David" w:cs="David" w:hint="cs"/>
          <w:b/>
          <w:bCs/>
          <w:u w:val="single"/>
          <w:rtl/>
        </w:rPr>
        <w:t xml:space="preserve">נספח </w:t>
      </w:r>
      <w:r w:rsidR="00D50BB6">
        <w:rPr>
          <w:rFonts w:ascii="David" w:hAnsi="David" w:cs="David" w:hint="cs"/>
          <w:b/>
          <w:bCs/>
          <w:u w:val="single"/>
          <w:rtl/>
        </w:rPr>
        <w:t>8</w:t>
      </w:r>
    </w:p>
    <w:p w14:paraId="14E08420" w14:textId="7B108E13" w:rsidR="00D83EE1" w:rsidRPr="00D83EE1" w:rsidRDefault="00D83EE1" w:rsidP="0078400E">
      <w:pPr>
        <w:pStyle w:val="a4"/>
        <w:spacing w:line="360" w:lineRule="auto"/>
        <w:ind w:left="-2"/>
        <w:rPr>
          <w:rFonts w:ascii="David" w:hAnsi="David" w:cs="David"/>
          <w:b/>
          <w:bCs/>
          <w:u w:val="single"/>
          <w:rtl/>
        </w:rPr>
      </w:pPr>
      <w:r>
        <w:rPr>
          <w:rFonts w:ascii="David" w:hAnsi="David" w:cs="David" w:hint="cs"/>
          <w:rtl/>
        </w:rPr>
        <w:t xml:space="preserve">כתב ההגנה המתוקן </w:t>
      </w:r>
      <w:r>
        <w:rPr>
          <w:rFonts w:ascii="David" w:hAnsi="David" w:cs="David"/>
          <w:rtl/>
        </w:rPr>
        <w:t>–</w:t>
      </w:r>
      <w:r>
        <w:rPr>
          <w:rFonts w:ascii="David" w:hAnsi="David" w:cs="David" w:hint="cs"/>
          <w:rtl/>
        </w:rPr>
        <w:t xml:space="preserve"> </w:t>
      </w:r>
      <w:r>
        <w:rPr>
          <w:rFonts w:ascii="David" w:hAnsi="David" w:cs="David" w:hint="cs"/>
          <w:b/>
          <w:bCs/>
          <w:u w:val="single"/>
          <w:rtl/>
        </w:rPr>
        <w:t xml:space="preserve">נספח </w:t>
      </w:r>
      <w:r w:rsidR="00D50BB6">
        <w:rPr>
          <w:rFonts w:ascii="David" w:hAnsi="David" w:cs="David" w:hint="cs"/>
          <w:b/>
          <w:bCs/>
          <w:u w:val="single"/>
          <w:rtl/>
        </w:rPr>
        <w:t>9</w:t>
      </w:r>
    </w:p>
    <w:p w14:paraId="106E37A3" w14:textId="470F6E1F" w:rsidR="00D12297" w:rsidRPr="0091434E" w:rsidRDefault="00D12297" w:rsidP="0078400E">
      <w:pPr>
        <w:pStyle w:val="a4"/>
        <w:spacing w:line="360" w:lineRule="auto"/>
        <w:ind w:left="-2"/>
        <w:rPr>
          <w:rFonts w:ascii="David" w:hAnsi="David" w:cs="David"/>
          <w:rtl/>
        </w:rPr>
      </w:pPr>
      <w:r>
        <w:rPr>
          <w:rFonts w:ascii="David" w:hAnsi="David" w:cs="David" w:hint="cs"/>
          <w:rtl/>
        </w:rPr>
        <w:t xml:space="preserve">תצהיר עדות ראשית </w:t>
      </w:r>
      <w:r w:rsidR="0078400E">
        <w:rPr>
          <w:rFonts w:ascii="David" w:hAnsi="David" w:cs="David" w:hint="cs"/>
          <w:rtl/>
        </w:rPr>
        <w:t xml:space="preserve">ותיק מוצגים </w:t>
      </w:r>
      <w:r>
        <w:rPr>
          <w:rFonts w:ascii="David" w:hAnsi="David" w:cs="David" w:hint="cs"/>
          <w:rtl/>
        </w:rPr>
        <w:t>מטעם המשיב</w:t>
      </w:r>
      <w:r w:rsidR="0078400E">
        <w:rPr>
          <w:rFonts w:ascii="David" w:hAnsi="David" w:cs="David" w:hint="cs"/>
          <w:rtl/>
        </w:rPr>
        <w:t xml:space="preserve">/התובע בהליך מושא הערעור - </w:t>
      </w:r>
      <w:r>
        <w:rPr>
          <w:rFonts w:ascii="David" w:hAnsi="David" w:cs="David" w:hint="cs"/>
          <w:rtl/>
        </w:rPr>
        <w:t xml:space="preserve"> </w:t>
      </w:r>
      <w:r>
        <w:rPr>
          <w:rFonts w:ascii="David" w:hAnsi="David" w:cs="David" w:hint="cs"/>
          <w:b/>
          <w:bCs/>
          <w:u w:val="single"/>
          <w:rtl/>
        </w:rPr>
        <w:t xml:space="preserve">נספח </w:t>
      </w:r>
      <w:r w:rsidR="00D50BB6">
        <w:rPr>
          <w:rFonts w:ascii="David" w:hAnsi="David" w:cs="David" w:hint="cs"/>
          <w:b/>
          <w:bCs/>
          <w:u w:val="single"/>
          <w:rtl/>
        </w:rPr>
        <w:t>10</w:t>
      </w:r>
    </w:p>
    <w:p w14:paraId="7F4FDDDB" w14:textId="69250F71" w:rsidR="0082359C" w:rsidRDefault="0078400E" w:rsidP="0078400E">
      <w:pPr>
        <w:spacing w:line="360" w:lineRule="auto"/>
        <w:rPr>
          <w:rFonts w:ascii="David" w:hAnsi="David" w:cs="David"/>
          <w:b/>
          <w:bCs/>
          <w:rtl/>
        </w:rPr>
      </w:pPr>
      <w:r w:rsidRPr="0078400E">
        <w:rPr>
          <w:rFonts w:ascii="David" w:hAnsi="David" w:cs="David" w:hint="cs"/>
          <w:rtl/>
        </w:rPr>
        <w:t xml:space="preserve">תצהיר עדות ראשית ותיק מוצגים מטעם המערערים/ הנתבעים בהליך מושא הערעור </w:t>
      </w:r>
      <w:r w:rsidRPr="0078400E">
        <w:rPr>
          <w:rFonts w:ascii="David" w:hAnsi="David" w:cs="David"/>
          <w:rtl/>
        </w:rPr>
        <w:t>–</w:t>
      </w:r>
      <w:r>
        <w:rPr>
          <w:rFonts w:ascii="David" w:hAnsi="David" w:cs="David" w:hint="cs"/>
          <w:b/>
          <w:bCs/>
          <w:rtl/>
        </w:rPr>
        <w:t xml:space="preserve"> </w:t>
      </w:r>
      <w:r w:rsidRPr="0078400E">
        <w:rPr>
          <w:rFonts w:ascii="David" w:hAnsi="David" w:cs="David" w:hint="cs"/>
          <w:b/>
          <w:bCs/>
          <w:u w:val="single"/>
          <w:rtl/>
        </w:rPr>
        <w:t xml:space="preserve">נספח </w:t>
      </w:r>
      <w:r w:rsidR="00D50BB6">
        <w:rPr>
          <w:rFonts w:ascii="David" w:hAnsi="David" w:cs="David" w:hint="cs"/>
          <w:b/>
          <w:bCs/>
          <w:u w:val="single"/>
          <w:rtl/>
        </w:rPr>
        <w:t>11</w:t>
      </w:r>
    </w:p>
    <w:p w14:paraId="0EBBCE5F" w14:textId="671FD0B2" w:rsidR="00D12297" w:rsidRDefault="00D12297" w:rsidP="0078400E">
      <w:pPr>
        <w:pStyle w:val="a4"/>
        <w:spacing w:line="360" w:lineRule="auto"/>
        <w:ind w:left="-2"/>
        <w:rPr>
          <w:rFonts w:ascii="David" w:hAnsi="David" w:cs="David"/>
          <w:b/>
          <w:bCs/>
          <w:u w:val="single"/>
          <w:rtl/>
        </w:rPr>
      </w:pPr>
      <w:r>
        <w:rPr>
          <w:rFonts w:ascii="David" w:hAnsi="David" w:cs="David" w:hint="cs"/>
          <w:rtl/>
        </w:rPr>
        <w:t xml:space="preserve">העתק הבקשה להוספת ראיה, מסומנת </w:t>
      </w:r>
      <w:r>
        <w:rPr>
          <w:rFonts w:ascii="David" w:hAnsi="David" w:cs="David" w:hint="cs"/>
          <w:b/>
          <w:bCs/>
          <w:u w:val="single"/>
          <w:rtl/>
        </w:rPr>
        <w:t xml:space="preserve">כנספח </w:t>
      </w:r>
      <w:r w:rsidR="00D50BB6">
        <w:rPr>
          <w:rFonts w:ascii="David" w:hAnsi="David" w:cs="David" w:hint="cs"/>
          <w:b/>
          <w:bCs/>
          <w:u w:val="single"/>
          <w:rtl/>
        </w:rPr>
        <w:t>12</w:t>
      </w:r>
    </w:p>
    <w:p w14:paraId="55E8CF34" w14:textId="4E737275" w:rsidR="00D12297" w:rsidRPr="00F0212B" w:rsidRDefault="0078400E" w:rsidP="0078400E">
      <w:pPr>
        <w:pStyle w:val="a4"/>
        <w:spacing w:line="360" w:lineRule="auto"/>
        <w:ind w:left="-2"/>
        <w:rPr>
          <w:rFonts w:ascii="David" w:hAnsi="David" w:cs="David"/>
          <w:rtl/>
        </w:rPr>
      </w:pPr>
      <w:r>
        <w:rPr>
          <w:rFonts w:ascii="David" w:hAnsi="David" w:cs="David" w:hint="cs"/>
          <w:rtl/>
        </w:rPr>
        <w:t>*</w:t>
      </w:r>
      <w:r w:rsidR="00D12297">
        <w:rPr>
          <w:rFonts w:ascii="David" w:hAnsi="David" w:cs="David" w:hint="cs"/>
          <w:rtl/>
        </w:rPr>
        <w:t>יצויין כי בטרם ניתנה החלטה בבקשה כאמור מצורפת הבקשה בלבד ללא הנספח-הראיה החדשה</w:t>
      </w:r>
    </w:p>
    <w:p w14:paraId="2F2AD7EA" w14:textId="0E75591E" w:rsidR="0082359C" w:rsidRPr="0078400E" w:rsidRDefault="0082359C" w:rsidP="0078400E">
      <w:pPr>
        <w:spacing w:line="360" w:lineRule="auto"/>
        <w:rPr>
          <w:rFonts w:ascii="David" w:hAnsi="David" w:cs="David"/>
        </w:rPr>
      </w:pPr>
      <w:r w:rsidRPr="0078400E">
        <w:rPr>
          <w:rFonts w:ascii="David" w:hAnsi="David" w:cs="David" w:hint="cs"/>
          <w:rtl/>
        </w:rPr>
        <w:t xml:space="preserve"> צוואת המנוח</w:t>
      </w:r>
      <w:r w:rsidR="0078400E">
        <w:rPr>
          <w:rFonts w:ascii="David" w:hAnsi="David" w:cs="David" w:hint="cs"/>
          <w:rtl/>
        </w:rPr>
        <w:t xml:space="preserve"> </w:t>
      </w:r>
      <w:r w:rsidR="0078400E">
        <w:rPr>
          <w:rFonts w:ascii="David" w:hAnsi="David" w:cs="David"/>
          <w:rtl/>
        </w:rPr>
        <w:t>–</w:t>
      </w:r>
      <w:r w:rsidR="0078400E">
        <w:rPr>
          <w:rFonts w:ascii="David" w:hAnsi="David" w:cs="David" w:hint="cs"/>
          <w:rtl/>
        </w:rPr>
        <w:t xml:space="preserve"> </w:t>
      </w:r>
      <w:r w:rsidRPr="0078400E">
        <w:rPr>
          <w:rFonts w:ascii="David" w:hAnsi="David" w:cs="David" w:hint="cs"/>
          <w:b/>
          <w:bCs/>
          <w:u w:val="single"/>
          <w:rtl/>
        </w:rPr>
        <w:t>נספח</w:t>
      </w:r>
      <w:r w:rsidR="0078400E">
        <w:rPr>
          <w:rFonts w:ascii="David" w:hAnsi="David" w:cs="David" w:hint="cs"/>
          <w:b/>
          <w:bCs/>
          <w:u w:val="single"/>
          <w:rtl/>
        </w:rPr>
        <w:t xml:space="preserve"> </w:t>
      </w:r>
      <w:r w:rsidR="00D50BB6">
        <w:rPr>
          <w:rFonts w:ascii="David" w:hAnsi="David" w:cs="David" w:hint="cs"/>
          <w:b/>
          <w:bCs/>
          <w:u w:val="single"/>
          <w:rtl/>
        </w:rPr>
        <w:t>13</w:t>
      </w:r>
    </w:p>
    <w:p w14:paraId="348360F1" w14:textId="4FCF1D1E" w:rsidR="0082359C" w:rsidRPr="0078400E" w:rsidRDefault="0078400E" w:rsidP="0078400E">
      <w:pPr>
        <w:spacing w:line="360" w:lineRule="auto"/>
        <w:rPr>
          <w:rFonts w:ascii="David" w:hAnsi="David" w:cs="David"/>
          <w:b/>
          <w:bCs/>
          <w:u w:val="single"/>
          <w:rtl/>
        </w:rPr>
      </w:pPr>
      <w:r w:rsidRPr="0078400E">
        <w:rPr>
          <w:rFonts w:ascii="David" w:hAnsi="David" w:cs="David" w:hint="cs"/>
          <w:rtl/>
        </w:rPr>
        <w:t xml:space="preserve">סיכומי המשיב/התובע בהליך מושא הערעור </w:t>
      </w:r>
      <w:r w:rsidRPr="0078400E">
        <w:rPr>
          <w:rFonts w:ascii="David" w:hAnsi="David" w:cs="David"/>
          <w:rtl/>
        </w:rPr>
        <w:t>–</w:t>
      </w:r>
      <w:r>
        <w:rPr>
          <w:rFonts w:ascii="David" w:hAnsi="David" w:cs="David" w:hint="cs"/>
          <w:b/>
          <w:bCs/>
          <w:rtl/>
        </w:rPr>
        <w:t xml:space="preserve"> </w:t>
      </w:r>
      <w:r>
        <w:rPr>
          <w:rFonts w:ascii="David" w:hAnsi="David" w:cs="David" w:hint="cs"/>
          <w:b/>
          <w:bCs/>
          <w:u w:val="single"/>
          <w:rtl/>
        </w:rPr>
        <w:t xml:space="preserve">נספח </w:t>
      </w:r>
      <w:r w:rsidR="00D50BB6">
        <w:rPr>
          <w:rFonts w:ascii="David" w:hAnsi="David" w:cs="David" w:hint="cs"/>
          <w:b/>
          <w:bCs/>
          <w:u w:val="single"/>
          <w:rtl/>
        </w:rPr>
        <w:t>14</w:t>
      </w:r>
    </w:p>
    <w:p w14:paraId="1B595B85" w14:textId="0FCC7061" w:rsidR="0078400E" w:rsidRPr="0078400E" w:rsidRDefault="0078400E" w:rsidP="0078400E">
      <w:pPr>
        <w:pStyle w:val="a4"/>
        <w:spacing w:line="360" w:lineRule="auto"/>
        <w:ind w:left="-2"/>
        <w:rPr>
          <w:rFonts w:ascii="David" w:hAnsi="David" w:cs="David"/>
          <w:b/>
          <w:bCs/>
          <w:u w:val="single"/>
          <w:rtl/>
        </w:rPr>
      </w:pPr>
      <w:r>
        <w:rPr>
          <w:rFonts w:ascii="David" w:hAnsi="David" w:cs="David" w:hint="cs"/>
          <w:rtl/>
        </w:rPr>
        <w:t xml:space="preserve">סיכומי המערערים/הנתבעים בהליך מושא הערעור </w:t>
      </w:r>
      <w:r>
        <w:rPr>
          <w:rFonts w:ascii="David" w:hAnsi="David" w:cs="David"/>
          <w:rtl/>
        </w:rPr>
        <w:t>–</w:t>
      </w:r>
      <w:r>
        <w:rPr>
          <w:rFonts w:ascii="David" w:hAnsi="David" w:cs="David" w:hint="cs"/>
          <w:rtl/>
        </w:rPr>
        <w:t xml:space="preserve"> </w:t>
      </w:r>
      <w:r>
        <w:rPr>
          <w:rFonts w:ascii="David" w:hAnsi="David" w:cs="David" w:hint="cs"/>
          <w:b/>
          <w:bCs/>
          <w:u w:val="single"/>
          <w:rtl/>
        </w:rPr>
        <w:t xml:space="preserve">נספח </w:t>
      </w:r>
      <w:r w:rsidR="00D50BB6">
        <w:rPr>
          <w:rFonts w:ascii="David" w:hAnsi="David" w:cs="David" w:hint="cs"/>
          <w:b/>
          <w:bCs/>
          <w:u w:val="single"/>
          <w:rtl/>
        </w:rPr>
        <w:t>15</w:t>
      </w:r>
    </w:p>
    <w:p w14:paraId="06AD1878" w14:textId="77777777" w:rsidR="0082359C" w:rsidRPr="0082359C" w:rsidRDefault="0082359C" w:rsidP="00A3516A">
      <w:pPr>
        <w:spacing w:line="360" w:lineRule="auto"/>
        <w:rPr>
          <w:rFonts w:ascii="David" w:hAnsi="David" w:cs="David"/>
          <w:b/>
          <w:bCs/>
        </w:rPr>
      </w:pPr>
    </w:p>
    <w:sectPr w:rsidR="0082359C" w:rsidRPr="0082359C" w:rsidSect="005074CA">
      <w:footerReference w:type="default" r:id="rId9"/>
      <w:pgSz w:w="11906" w:h="16838"/>
      <w:pgMar w:top="1418" w:right="1418" w:bottom="1418"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0D69B" w14:textId="77777777" w:rsidR="004A2622" w:rsidRDefault="004A2622" w:rsidP="004A2622">
      <w:r>
        <w:separator/>
      </w:r>
    </w:p>
  </w:endnote>
  <w:endnote w:type="continuationSeparator" w:id="0">
    <w:p w14:paraId="4C393559" w14:textId="77777777" w:rsidR="004A2622" w:rsidRDefault="004A2622" w:rsidP="004A2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TUR">
    <w:altName w:val="Arial"/>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74354528"/>
      <w:docPartObj>
        <w:docPartGallery w:val="Page Numbers (Bottom of Page)"/>
        <w:docPartUnique/>
      </w:docPartObj>
    </w:sdtPr>
    <w:sdtEndPr/>
    <w:sdtContent>
      <w:p w14:paraId="370265EF" w14:textId="069EEDA1" w:rsidR="004655FF" w:rsidRDefault="004655FF" w:rsidP="005074CA">
        <w:pPr>
          <w:pStyle w:val="aa"/>
          <w:jc w:val="center"/>
        </w:pPr>
        <w:r>
          <w:fldChar w:fldCharType="begin"/>
        </w:r>
        <w:r>
          <w:instrText>PAGE   \* MERGEFORMAT</w:instrText>
        </w:r>
        <w:r>
          <w:fldChar w:fldCharType="separate"/>
        </w:r>
        <w:r>
          <w:rPr>
            <w:rtl/>
            <w:lang w:val="he-IL"/>
          </w:rPr>
          <w:t>2</w:t>
        </w:r>
        <w:r>
          <w:fldChar w:fldCharType="end"/>
        </w:r>
      </w:p>
    </w:sdtContent>
  </w:sdt>
  <w:p w14:paraId="439BD968" w14:textId="77777777" w:rsidR="004655FF" w:rsidRDefault="004655FF" w:rsidP="005074CA">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ECC9C" w14:textId="77777777" w:rsidR="004A2622" w:rsidRDefault="004A2622" w:rsidP="004A2622">
      <w:r>
        <w:separator/>
      </w:r>
    </w:p>
  </w:footnote>
  <w:footnote w:type="continuationSeparator" w:id="0">
    <w:p w14:paraId="659CA082" w14:textId="77777777" w:rsidR="004A2622" w:rsidRDefault="004A2622" w:rsidP="004A26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11CA8"/>
    <w:multiLevelType w:val="hybridMultilevel"/>
    <w:tmpl w:val="AEAA4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B6976"/>
    <w:multiLevelType w:val="hybridMultilevel"/>
    <w:tmpl w:val="0422C848"/>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8814807"/>
    <w:multiLevelType w:val="hybridMultilevel"/>
    <w:tmpl w:val="4474A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D74984"/>
    <w:multiLevelType w:val="hybridMultilevel"/>
    <w:tmpl w:val="8F902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0C0BCC"/>
    <w:multiLevelType w:val="hybridMultilevel"/>
    <w:tmpl w:val="B41297B6"/>
    <w:lvl w:ilvl="0" w:tplc="B2F27748">
      <w:start w:val="1"/>
      <w:numFmt w:val="hebrew1"/>
      <w:lvlText w:val="%1."/>
      <w:lvlJc w:val="left"/>
      <w:pPr>
        <w:ind w:left="720" w:hanging="360"/>
      </w:pPr>
      <w:rPr>
        <w:rFonts w:hint="default"/>
        <w:sz w:val="34"/>
        <w:szCs w:val="3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554958"/>
    <w:multiLevelType w:val="hybridMultilevel"/>
    <w:tmpl w:val="049E658E"/>
    <w:lvl w:ilvl="0" w:tplc="665E8DA0">
      <w:start w:val="1"/>
      <w:numFmt w:val="decimal"/>
      <w:lvlText w:val="%1."/>
      <w:lvlJc w:val="left"/>
      <w:pPr>
        <w:ind w:left="720" w:hanging="360"/>
      </w:pPr>
      <w:rPr>
        <w:rFonts w:hint="default"/>
        <w:b w:val="0"/>
        <w:bCs w:val="0"/>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14277B"/>
    <w:multiLevelType w:val="hybridMultilevel"/>
    <w:tmpl w:val="D5024BF0"/>
    <w:lvl w:ilvl="0" w:tplc="93ACC32A">
      <w:start w:val="1"/>
      <w:numFmt w:val="hebrew1"/>
      <w:lvlText w:val="%1."/>
      <w:lvlJc w:val="left"/>
      <w:pPr>
        <w:ind w:left="1598" w:hanging="360"/>
      </w:pPr>
      <w:rPr>
        <w:rFonts w:hint="default"/>
        <w:sz w:val="26"/>
      </w:rPr>
    </w:lvl>
    <w:lvl w:ilvl="1" w:tplc="04090019">
      <w:start w:val="1"/>
      <w:numFmt w:val="lowerLetter"/>
      <w:lvlText w:val="%2."/>
      <w:lvlJc w:val="left"/>
      <w:pPr>
        <w:ind w:left="2318" w:hanging="360"/>
      </w:pPr>
    </w:lvl>
    <w:lvl w:ilvl="2" w:tplc="0409001B" w:tentative="1">
      <w:start w:val="1"/>
      <w:numFmt w:val="lowerRoman"/>
      <w:lvlText w:val="%3."/>
      <w:lvlJc w:val="right"/>
      <w:pPr>
        <w:ind w:left="3038" w:hanging="180"/>
      </w:pPr>
    </w:lvl>
    <w:lvl w:ilvl="3" w:tplc="0409000F" w:tentative="1">
      <w:start w:val="1"/>
      <w:numFmt w:val="decimal"/>
      <w:lvlText w:val="%4."/>
      <w:lvlJc w:val="left"/>
      <w:pPr>
        <w:ind w:left="3758" w:hanging="360"/>
      </w:pPr>
    </w:lvl>
    <w:lvl w:ilvl="4" w:tplc="04090019" w:tentative="1">
      <w:start w:val="1"/>
      <w:numFmt w:val="lowerLetter"/>
      <w:lvlText w:val="%5."/>
      <w:lvlJc w:val="left"/>
      <w:pPr>
        <w:ind w:left="4478" w:hanging="360"/>
      </w:pPr>
    </w:lvl>
    <w:lvl w:ilvl="5" w:tplc="0409001B" w:tentative="1">
      <w:start w:val="1"/>
      <w:numFmt w:val="lowerRoman"/>
      <w:lvlText w:val="%6."/>
      <w:lvlJc w:val="right"/>
      <w:pPr>
        <w:ind w:left="5198" w:hanging="180"/>
      </w:pPr>
    </w:lvl>
    <w:lvl w:ilvl="6" w:tplc="0409000F" w:tentative="1">
      <w:start w:val="1"/>
      <w:numFmt w:val="decimal"/>
      <w:lvlText w:val="%7."/>
      <w:lvlJc w:val="left"/>
      <w:pPr>
        <w:ind w:left="5918" w:hanging="360"/>
      </w:pPr>
    </w:lvl>
    <w:lvl w:ilvl="7" w:tplc="04090019" w:tentative="1">
      <w:start w:val="1"/>
      <w:numFmt w:val="lowerLetter"/>
      <w:lvlText w:val="%8."/>
      <w:lvlJc w:val="left"/>
      <w:pPr>
        <w:ind w:left="6638" w:hanging="360"/>
      </w:pPr>
    </w:lvl>
    <w:lvl w:ilvl="8" w:tplc="0409001B" w:tentative="1">
      <w:start w:val="1"/>
      <w:numFmt w:val="lowerRoman"/>
      <w:lvlText w:val="%9."/>
      <w:lvlJc w:val="right"/>
      <w:pPr>
        <w:ind w:left="7358" w:hanging="180"/>
      </w:pPr>
    </w:lvl>
  </w:abstractNum>
  <w:abstractNum w:abstractNumId="7" w15:restartNumberingAfterBreak="0">
    <w:nsid w:val="3F68429E"/>
    <w:multiLevelType w:val="hybridMultilevel"/>
    <w:tmpl w:val="F92A4756"/>
    <w:lvl w:ilvl="0" w:tplc="B29EE8BA">
      <w:start w:val="1"/>
      <w:numFmt w:val="decimal"/>
      <w:lvlText w:val="%1."/>
      <w:lvlJc w:val="left"/>
      <w:pPr>
        <w:tabs>
          <w:tab w:val="num" w:pos="502"/>
        </w:tabs>
        <w:ind w:left="502" w:right="720" w:hanging="360"/>
      </w:pPr>
      <w:rPr>
        <w:rFonts w:ascii="David" w:eastAsia="Times New Roman" w:hAnsi="David" w:cs="David"/>
        <w:lang w:bidi="he-IL"/>
      </w:rPr>
    </w:lvl>
    <w:lvl w:ilvl="1" w:tplc="A68CFB40">
      <w:start w:val="1"/>
      <w:numFmt w:val="hebrew1"/>
      <w:lvlText w:val="%2."/>
      <w:lvlJc w:val="left"/>
      <w:pPr>
        <w:tabs>
          <w:tab w:val="num" w:pos="1440"/>
        </w:tabs>
        <w:ind w:left="1440" w:right="1440" w:hanging="360"/>
      </w:pPr>
      <w:rPr>
        <w:rFonts w:hint="c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 w15:restartNumberingAfterBreak="0">
    <w:nsid w:val="61677B36"/>
    <w:multiLevelType w:val="hybridMultilevel"/>
    <w:tmpl w:val="DC5EA106"/>
    <w:lvl w:ilvl="0" w:tplc="7DACB784">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A3831FD"/>
    <w:multiLevelType w:val="hybridMultilevel"/>
    <w:tmpl w:val="74845854"/>
    <w:lvl w:ilvl="0" w:tplc="AD040B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C229AF"/>
    <w:multiLevelType w:val="hybridMultilevel"/>
    <w:tmpl w:val="E14A8CD4"/>
    <w:lvl w:ilvl="0" w:tplc="6A2CBB2A">
      <w:start w:val="1"/>
      <w:numFmt w:val="hebrew1"/>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num w:numId="1" w16cid:durableId="1014065904">
    <w:abstractNumId w:val="3"/>
  </w:num>
  <w:num w:numId="2" w16cid:durableId="460618185">
    <w:abstractNumId w:val="0"/>
  </w:num>
  <w:num w:numId="3" w16cid:durableId="719666523">
    <w:abstractNumId w:val="6"/>
  </w:num>
  <w:num w:numId="4" w16cid:durableId="1148089605">
    <w:abstractNumId w:val="2"/>
  </w:num>
  <w:num w:numId="5" w16cid:durableId="1368725607">
    <w:abstractNumId w:val="9"/>
  </w:num>
  <w:num w:numId="6" w16cid:durableId="1032681617">
    <w:abstractNumId w:val="5"/>
  </w:num>
  <w:num w:numId="7" w16cid:durableId="552156979">
    <w:abstractNumId w:val="8"/>
  </w:num>
  <w:num w:numId="8" w16cid:durableId="1650403509">
    <w:abstractNumId w:val="7"/>
  </w:num>
  <w:num w:numId="9" w16cid:durableId="12535150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2185901">
    <w:abstractNumId w:val="4"/>
  </w:num>
  <w:num w:numId="11" w16cid:durableId="13355713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4C3"/>
    <w:rsid w:val="00017396"/>
    <w:rsid w:val="00021591"/>
    <w:rsid w:val="00041CBD"/>
    <w:rsid w:val="00051801"/>
    <w:rsid w:val="000804F5"/>
    <w:rsid w:val="000910F1"/>
    <w:rsid w:val="00091F00"/>
    <w:rsid w:val="00093E63"/>
    <w:rsid w:val="000947DD"/>
    <w:rsid w:val="00095235"/>
    <w:rsid w:val="000A150E"/>
    <w:rsid w:val="000A4A21"/>
    <w:rsid w:val="000A4C9F"/>
    <w:rsid w:val="000A6F97"/>
    <w:rsid w:val="000B1BE4"/>
    <w:rsid w:val="000C45C9"/>
    <w:rsid w:val="000C58CC"/>
    <w:rsid w:val="000D59BB"/>
    <w:rsid w:val="000E1F64"/>
    <w:rsid w:val="000E69BC"/>
    <w:rsid w:val="000F7381"/>
    <w:rsid w:val="00100B43"/>
    <w:rsid w:val="00103218"/>
    <w:rsid w:val="001104DE"/>
    <w:rsid w:val="0011396D"/>
    <w:rsid w:val="00124CD9"/>
    <w:rsid w:val="00144571"/>
    <w:rsid w:val="00162B0F"/>
    <w:rsid w:val="00190D22"/>
    <w:rsid w:val="001A026D"/>
    <w:rsid w:val="001A598E"/>
    <w:rsid w:val="001B0FC3"/>
    <w:rsid w:val="001B432F"/>
    <w:rsid w:val="001C0227"/>
    <w:rsid w:val="001D66A0"/>
    <w:rsid w:val="001E69C7"/>
    <w:rsid w:val="001E7540"/>
    <w:rsid w:val="00210A9C"/>
    <w:rsid w:val="002177AD"/>
    <w:rsid w:val="0024569D"/>
    <w:rsid w:val="00247B6D"/>
    <w:rsid w:val="00250C4B"/>
    <w:rsid w:val="00253E90"/>
    <w:rsid w:val="002553A9"/>
    <w:rsid w:val="00275BE6"/>
    <w:rsid w:val="00276300"/>
    <w:rsid w:val="0027633B"/>
    <w:rsid w:val="00283F02"/>
    <w:rsid w:val="002B7B54"/>
    <w:rsid w:val="002F3D17"/>
    <w:rsid w:val="00304C39"/>
    <w:rsid w:val="00324D14"/>
    <w:rsid w:val="00325EA6"/>
    <w:rsid w:val="003719EB"/>
    <w:rsid w:val="00377FFD"/>
    <w:rsid w:val="003812B2"/>
    <w:rsid w:val="00387928"/>
    <w:rsid w:val="0039466A"/>
    <w:rsid w:val="003A7475"/>
    <w:rsid w:val="003B7B9A"/>
    <w:rsid w:val="003C64A4"/>
    <w:rsid w:val="003E37CC"/>
    <w:rsid w:val="003F1121"/>
    <w:rsid w:val="004212E3"/>
    <w:rsid w:val="00423338"/>
    <w:rsid w:val="0044123E"/>
    <w:rsid w:val="0045696B"/>
    <w:rsid w:val="00460588"/>
    <w:rsid w:val="004633A8"/>
    <w:rsid w:val="004655FF"/>
    <w:rsid w:val="004760CE"/>
    <w:rsid w:val="0048383D"/>
    <w:rsid w:val="004971A0"/>
    <w:rsid w:val="004A2622"/>
    <w:rsid w:val="004B25C0"/>
    <w:rsid w:val="004C441A"/>
    <w:rsid w:val="004F1055"/>
    <w:rsid w:val="004F50DE"/>
    <w:rsid w:val="004F643D"/>
    <w:rsid w:val="004F6D86"/>
    <w:rsid w:val="005056C9"/>
    <w:rsid w:val="005074CA"/>
    <w:rsid w:val="00513587"/>
    <w:rsid w:val="00517AF1"/>
    <w:rsid w:val="00553C5F"/>
    <w:rsid w:val="0055479D"/>
    <w:rsid w:val="005575EA"/>
    <w:rsid w:val="00557A47"/>
    <w:rsid w:val="00577F97"/>
    <w:rsid w:val="00585A74"/>
    <w:rsid w:val="005921D8"/>
    <w:rsid w:val="005C0CC3"/>
    <w:rsid w:val="005C4D1E"/>
    <w:rsid w:val="005C6F96"/>
    <w:rsid w:val="005E444C"/>
    <w:rsid w:val="0060205B"/>
    <w:rsid w:val="00614BFD"/>
    <w:rsid w:val="006202A3"/>
    <w:rsid w:val="00623F5B"/>
    <w:rsid w:val="00641609"/>
    <w:rsid w:val="006462DB"/>
    <w:rsid w:val="006515B1"/>
    <w:rsid w:val="00664CE1"/>
    <w:rsid w:val="006659EB"/>
    <w:rsid w:val="00675F2A"/>
    <w:rsid w:val="00680B35"/>
    <w:rsid w:val="006818C8"/>
    <w:rsid w:val="00690E20"/>
    <w:rsid w:val="006959E6"/>
    <w:rsid w:val="006B53CB"/>
    <w:rsid w:val="006B53EA"/>
    <w:rsid w:val="006C3C70"/>
    <w:rsid w:val="006C7BF8"/>
    <w:rsid w:val="006D3308"/>
    <w:rsid w:val="006E0C4E"/>
    <w:rsid w:val="006E2370"/>
    <w:rsid w:val="006E643F"/>
    <w:rsid w:val="006E6729"/>
    <w:rsid w:val="006F04A8"/>
    <w:rsid w:val="006F1034"/>
    <w:rsid w:val="00703A0F"/>
    <w:rsid w:val="00720A15"/>
    <w:rsid w:val="007214BC"/>
    <w:rsid w:val="00730E4E"/>
    <w:rsid w:val="00740819"/>
    <w:rsid w:val="007450E3"/>
    <w:rsid w:val="007462F6"/>
    <w:rsid w:val="00756159"/>
    <w:rsid w:val="00767024"/>
    <w:rsid w:val="007701D0"/>
    <w:rsid w:val="0077517E"/>
    <w:rsid w:val="0078400E"/>
    <w:rsid w:val="00792EFB"/>
    <w:rsid w:val="007A1361"/>
    <w:rsid w:val="007A6FA4"/>
    <w:rsid w:val="007B0FDA"/>
    <w:rsid w:val="007C21BF"/>
    <w:rsid w:val="007C4A21"/>
    <w:rsid w:val="007E4971"/>
    <w:rsid w:val="007F3233"/>
    <w:rsid w:val="00801B64"/>
    <w:rsid w:val="00805C7F"/>
    <w:rsid w:val="0082359C"/>
    <w:rsid w:val="008237D2"/>
    <w:rsid w:val="00826C51"/>
    <w:rsid w:val="008561E2"/>
    <w:rsid w:val="0086308D"/>
    <w:rsid w:val="008725B8"/>
    <w:rsid w:val="0088100D"/>
    <w:rsid w:val="008863BE"/>
    <w:rsid w:val="008A1202"/>
    <w:rsid w:val="008A4DAB"/>
    <w:rsid w:val="008A71B2"/>
    <w:rsid w:val="008B27A5"/>
    <w:rsid w:val="008B5349"/>
    <w:rsid w:val="008B5CD0"/>
    <w:rsid w:val="008B6E69"/>
    <w:rsid w:val="008C2F49"/>
    <w:rsid w:val="008C42AF"/>
    <w:rsid w:val="008E1B0F"/>
    <w:rsid w:val="008F13CB"/>
    <w:rsid w:val="0090300B"/>
    <w:rsid w:val="0091434E"/>
    <w:rsid w:val="009379DD"/>
    <w:rsid w:val="00953EC5"/>
    <w:rsid w:val="00954DFC"/>
    <w:rsid w:val="00956B6B"/>
    <w:rsid w:val="009649E2"/>
    <w:rsid w:val="00974F9B"/>
    <w:rsid w:val="009949A6"/>
    <w:rsid w:val="009B375B"/>
    <w:rsid w:val="009B4F51"/>
    <w:rsid w:val="009B6F56"/>
    <w:rsid w:val="009D4B22"/>
    <w:rsid w:val="009D7C60"/>
    <w:rsid w:val="009E1A98"/>
    <w:rsid w:val="009E4E12"/>
    <w:rsid w:val="009E77BB"/>
    <w:rsid w:val="00A050EA"/>
    <w:rsid w:val="00A07922"/>
    <w:rsid w:val="00A12DD8"/>
    <w:rsid w:val="00A13F80"/>
    <w:rsid w:val="00A228A7"/>
    <w:rsid w:val="00A23439"/>
    <w:rsid w:val="00A24656"/>
    <w:rsid w:val="00A27042"/>
    <w:rsid w:val="00A276D9"/>
    <w:rsid w:val="00A31456"/>
    <w:rsid w:val="00A314D7"/>
    <w:rsid w:val="00A33EA2"/>
    <w:rsid w:val="00A3516A"/>
    <w:rsid w:val="00A435A3"/>
    <w:rsid w:val="00A509C0"/>
    <w:rsid w:val="00A5775B"/>
    <w:rsid w:val="00A653CD"/>
    <w:rsid w:val="00A835A7"/>
    <w:rsid w:val="00A86793"/>
    <w:rsid w:val="00A9392B"/>
    <w:rsid w:val="00A96634"/>
    <w:rsid w:val="00AA49F4"/>
    <w:rsid w:val="00AA55D8"/>
    <w:rsid w:val="00AB52EA"/>
    <w:rsid w:val="00AC0686"/>
    <w:rsid w:val="00AF4B25"/>
    <w:rsid w:val="00B02749"/>
    <w:rsid w:val="00B148D5"/>
    <w:rsid w:val="00B21DD7"/>
    <w:rsid w:val="00B305C2"/>
    <w:rsid w:val="00B34965"/>
    <w:rsid w:val="00B516A4"/>
    <w:rsid w:val="00B67AF8"/>
    <w:rsid w:val="00B716DF"/>
    <w:rsid w:val="00B84291"/>
    <w:rsid w:val="00B9186F"/>
    <w:rsid w:val="00B92A03"/>
    <w:rsid w:val="00BA5B85"/>
    <w:rsid w:val="00BB1754"/>
    <w:rsid w:val="00BC4B77"/>
    <w:rsid w:val="00BC5C44"/>
    <w:rsid w:val="00BC6994"/>
    <w:rsid w:val="00BD1AB4"/>
    <w:rsid w:val="00BD1F55"/>
    <w:rsid w:val="00BD4068"/>
    <w:rsid w:val="00C163E1"/>
    <w:rsid w:val="00C16DB9"/>
    <w:rsid w:val="00C22E4E"/>
    <w:rsid w:val="00C355D0"/>
    <w:rsid w:val="00C357A4"/>
    <w:rsid w:val="00C44469"/>
    <w:rsid w:val="00C54BA4"/>
    <w:rsid w:val="00C6169C"/>
    <w:rsid w:val="00C62BB5"/>
    <w:rsid w:val="00C74CA4"/>
    <w:rsid w:val="00C762A8"/>
    <w:rsid w:val="00C771FA"/>
    <w:rsid w:val="00C80FCC"/>
    <w:rsid w:val="00CA28FF"/>
    <w:rsid w:val="00CC2921"/>
    <w:rsid w:val="00CE677B"/>
    <w:rsid w:val="00D05FA3"/>
    <w:rsid w:val="00D07816"/>
    <w:rsid w:val="00D11561"/>
    <w:rsid w:val="00D12297"/>
    <w:rsid w:val="00D33187"/>
    <w:rsid w:val="00D41B7D"/>
    <w:rsid w:val="00D44A33"/>
    <w:rsid w:val="00D47994"/>
    <w:rsid w:val="00D50BB6"/>
    <w:rsid w:val="00D52E0D"/>
    <w:rsid w:val="00D5650B"/>
    <w:rsid w:val="00D56B7E"/>
    <w:rsid w:val="00D61B94"/>
    <w:rsid w:val="00D71F3E"/>
    <w:rsid w:val="00D83EE1"/>
    <w:rsid w:val="00DC23B2"/>
    <w:rsid w:val="00DD0A03"/>
    <w:rsid w:val="00DD1367"/>
    <w:rsid w:val="00DE1813"/>
    <w:rsid w:val="00DF067B"/>
    <w:rsid w:val="00E216FE"/>
    <w:rsid w:val="00E320EC"/>
    <w:rsid w:val="00E32BF3"/>
    <w:rsid w:val="00E37FED"/>
    <w:rsid w:val="00E5695C"/>
    <w:rsid w:val="00E60584"/>
    <w:rsid w:val="00E62E75"/>
    <w:rsid w:val="00E636DE"/>
    <w:rsid w:val="00E63725"/>
    <w:rsid w:val="00E70B4B"/>
    <w:rsid w:val="00E76AD3"/>
    <w:rsid w:val="00E8143A"/>
    <w:rsid w:val="00E833C1"/>
    <w:rsid w:val="00E86980"/>
    <w:rsid w:val="00E95D61"/>
    <w:rsid w:val="00E9653E"/>
    <w:rsid w:val="00EB06E7"/>
    <w:rsid w:val="00EB4A3B"/>
    <w:rsid w:val="00EB7D65"/>
    <w:rsid w:val="00ED699A"/>
    <w:rsid w:val="00EE5A31"/>
    <w:rsid w:val="00EF44C3"/>
    <w:rsid w:val="00F00CAC"/>
    <w:rsid w:val="00F0212B"/>
    <w:rsid w:val="00F045F9"/>
    <w:rsid w:val="00F05D94"/>
    <w:rsid w:val="00F20C3C"/>
    <w:rsid w:val="00F21B70"/>
    <w:rsid w:val="00F24A81"/>
    <w:rsid w:val="00F2668D"/>
    <w:rsid w:val="00F770E9"/>
    <w:rsid w:val="00F87E89"/>
    <w:rsid w:val="00F9134A"/>
    <w:rsid w:val="00FC24D2"/>
    <w:rsid w:val="00FC6F1F"/>
    <w:rsid w:val="00FD12FF"/>
    <w:rsid w:val="00FD7222"/>
    <w:rsid w:val="00FE5611"/>
    <w:rsid w:val="00FF50E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FFAED"/>
  <w15:chartTrackingRefBased/>
  <w15:docId w15:val="{1B101B59-706E-4669-B841-FC4CC9328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169C"/>
    <w:pPr>
      <w:bidi/>
      <w:spacing w:after="0" w:line="240" w:lineRule="auto"/>
    </w:pPr>
    <w:rPr>
      <w:rFonts w:ascii="Times New Roman" w:eastAsia="Times New Roman" w:hAnsi="Times New Roman" w:cs="Times New Roman"/>
      <w:sz w:val="24"/>
      <w:szCs w:val="24"/>
      <w:lang w:eastAsia="he-IL"/>
    </w:rPr>
  </w:style>
  <w:style w:type="paragraph" w:styleId="5">
    <w:name w:val="heading 5"/>
    <w:basedOn w:val="a"/>
    <w:next w:val="a"/>
    <w:link w:val="50"/>
    <w:uiPriority w:val="9"/>
    <w:semiHidden/>
    <w:unhideWhenUsed/>
    <w:qFormat/>
    <w:rsid w:val="00F9134A"/>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61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41B7D"/>
    <w:pPr>
      <w:ind w:left="720"/>
      <w:contextualSpacing/>
    </w:pPr>
  </w:style>
  <w:style w:type="paragraph" w:styleId="a5">
    <w:name w:val="footnote text"/>
    <w:basedOn w:val="a"/>
    <w:link w:val="a6"/>
    <w:uiPriority w:val="99"/>
    <w:semiHidden/>
    <w:unhideWhenUsed/>
    <w:rsid w:val="004A2622"/>
    <w:rPr>
      <w:sz w:val="20"/>
      <w:szCs w:val="20"/>
    </w:rPr>
  </w:style>
  <w:style w:type="character" w:customStyle="1" w:styleId="a6">
    <w:name w:val="טקסט הערת שוליים תו"/>
    <w:basedOn w:val="a0"/>
    <w:link w:val="a5"/>
    <w:uiPriority w:val="99"/>
    <w:semiHidden/>
    <w:rsid w:val="004A2622"/>
    <w:rPr>
      <w:rFonts w:ascii="Times New Roman" w:eastAsia="Times New Roman" w:hAnsi="Times New Roman" w:cs="Times New Roman"/>
      <w:sz w:val="20"/>
      <w:szCs w:val="20"/>
      <w:lang w:eastAsia="he-IL"/>
    </w:rPr>
  </w:style>
  <w:style w:type="character" w:styleId="a7">
    <w:name w:val="footnote reference"/>
    <w:basedOn w:val="a0"/>
    <w:uiPriority w:val="99"/>
    <w:semiHidden/>
    <w:unhideWhenUsed/>
    <w:rsid w:val="004A2622"/>
    <w:rPr>
      <w:vertAlign w:val="superscript"/>
    </w:rPr>
  </w:style>
  <w:style w:type="paragraph" w:styleId="a8">
    <w:name w:val="header"/>
    <w:basedOn w:val="a"/>
    <w:link w:val="a9"/>
    <w:uiPriority w:val="99"/>
    <w:unhideWhenUsed/>
    <w:rsid w:val="004655FF"/>
    <w:pPr>
      <w:tabs>
        <w:tab w:val="center" w:pos="4153"/>
        <w:tab w:val="right" w:pos="8306"/>
      </w:tabs>
    </w:pPr>
  </w:style>
  <w:style w:type="character" w:customStyle="1" w:styleId="a9">
    <w:name w:val="כותרת עליונה תו"/>
    <w:basedOn w:val="a0"/>
    <w:link w:val="a8"/>
    <w:uiPriority w:val="99"/>
    <w:rsid w:val="004655FF"/>
    <w:rPr>
      <w:rFonts w:ascii="Times New Roman" w:eastAsia="Times New Roman" w:hAnsi="Times New Roman" w:cs="Times New Roman"/>
      <w:sz w:val="24"/>
      <w:szCs w:val="24"/>
      <w:lang w:eastAsia="he-IL"/>
    </w:rPr>
  </w:style>
  <w:style w:type="paragraph" w:styleId="aa">
    <w:name w:val="footer"/>
    <w:basedOn w:val="a"/>
    <w:link w:val="ab"/>
    <w:uiPriority w:val="99"/>
    <w:unhideWhenUsed/>
    <w:rsid w:val="004655FF"/>
    <w:pPr>
      <w:tabs>
        <w:tab w:val="center" w:pos="4153"/>
        <w:tab w:val="right" w:pos="8306"/>
      </w:tabs>
    </w:pPr>
  </w:style>
  <w:style w:type="character" w:customStyle="1" w:styleId="ab">
    <w:name w:val="כותרת תחתונה תו"/>
    <w:basedOn w:val="a0"/>
    <w:link w:val="aa"/>
    <w:uiPriority w:val="99"/>
    <w:rsid w:val="004655FF"/>
    <w:rPr>
      <w:rFonts w:ascii="Times New Roman" w:eastAsia="Times New Roman" w:hAnsi="Times New Roman" w:cs="Times New Roman"/>
      <w:sz w:val="24"/>
      <w:szCs w:val="24"/>
      <w:lang w:eastAsia="he-IL"/>
    </w:rPr>
  </w:style>
  <w:style w:type="character" w:styleId="Hyperlink">
    <w:name w:val="Hyperlink"/>
    <w:basedOn w:val="a0"/>
    <w:uiPriority w:val="99"/>
    <w:unhideWhenUsed/>
    <w:rsid w:val="00A3516A"/>
    <w:rPr>
      <w:color w:val="0563C1" w:themeColor="hyperlink"/>
      <w:u w:val="single"/>
    </w:rPr>
  </w:style>
  <w:style w:type="character" w:styleId="ac">
    <w:name w:val="Unresolved Mention"/>
    <w:basedOn w:val="a0"/>
    <w:uiPriority w:val="99"/>
    <w:semiHidden/>
    <w:unhideWhenUsed/>
    <w:rsid w:val="00A3516A"/>
    <w:rPr>
      <w:color w:val="605E5C"/>
      <w:shd w:val="clear" w:color="auto" w:fill="E1DFDD"/>
    </w:rPr>
  </w:style>
  <w:style w:type="character" w:customStyle="1" w:styleId="Ruller4">
    <w:name w:val="Ruller4 תו"/>
    <w:link w:val="Ruller40"/>
    <w:locked/>
    <w:rsid w:val="006E643F"/>
    <w:rPr>
      <w:rFonts w:ascii="Arial TUR" w:hAnsi="Arial TUR" w:cs="FrankRuehl"/>
      <w:spacing w:val="10"/>
      <w:szCs w:val="28"/>
    </w:rPr>
  </w:style>
  <w:style w:type="paragraph" w:customStyle="1" w:styleId="Ruller40">
    <w:name w:val="Ruller4"/>
    <w:basedOn w:val="a"/>
    <w:link w:val="Ruller4"/>
    <w:rsid w:val="006E643F"/>
    <w:pPr>
      <w:tabs>
        <w:tab w:val="left" w:pos="800"/>
      </w:tabs>
      <w:overflowPunct w:val="0"/>
      <w:autoSpaceDE w:val="0"/>
      <w:autoSpaceDN w:val="0"/>
      <w:adjustRightInd w:val="0"/>
      <w:spacing w:line="360" w:lineRule="auto"/>
      <w:jc w:val="both"/>
    </w:pPr>
    <w:rPr>
      <w:rFonts w:ascii="Arial TUR" w:eastAsiaTheme="minorHAnsi" w:hAnsi="Arial TUR" w:cs="FrankRuehl"/>
      <w:spacing w:val="10"/>
      <w:sz w:val="22"/>
      <w:szCs w:val="28"/>
      <w:lang w:eastAsia="en-US"/>
    </w:rPr>
  </w:style>
  <w:style w:type="paragraph" w:customStyle="1" w:styleId="Ruller5">
    <w:name w:val="Ruller5"/>
    <w:basedOn w:val="a"/>
    <w:rsid w:val="006E643F"/>
    <w:pPr>
      <w:overflowPunct w:val="0"/>
      <w:autoSpaceDE w:val="0"/>
      <w:autoSpaceDN w:val="0"/>
      <w:adjustRightInd w:val="0"/>
      <w:ind w:left="1642" w:right="1282"/>
      <w:jc w:val="both"/>
    </w:pPr>
    <w:rPr>
      <w:rFonts w:ascii="Arial TUR" w:hAnsi="Arial TUR" w:cs="FrankRuehl"/>
      <w:spacing w:val="10"/>
      <w:sz w:val="22"/>
      <w:szCs w:val="28"/>
      <w:lang w:eastAsia="en-US"/>
    </w:rPr>
  </w:style>
  <w:style w:type="paragraph" w:customStyle="1" w:styleId="ad">
    <w:name w:val="כללי"/>
    <w:basedOn w:val="a"/>
    <w:rsid w:val="006E643F"/>
    <w:pPr>
      <w:overflowPunct w:val="0"/>
      <w:autoSpaceDE w:val="0"/>
      <w:autoSpaceDN w:val="0"/>
      <w:adjustRightInd w:val="0"/>
      <w:spacing w:after="240" w:line="276" w:lineRule="exact"/>
      <w:ind w:firstLine="284"/>
      <w:jc w:val="both"/>
    </w:pPr>
    <w:rPr>
      <w:rFonts w:cs="FrankRuehl"/>
      <w:sz w:val="20"/>
    </w:rPr>
  </w:style>
  <w:style w:type="character" w:customStyle="1" w:styleId="default">
    <w:name w:val="default"/>
    <w:rsid w:val="006E643F"/>
    <w:rPr>
      <w:rFonts w:ascii="Times New Roman" w:hAnsi="Times New Roman" w:cs="Times New Roman" w:hint="default"/>
      <w:sz w:val="26"/>
      <w:szCs w:val="26"/>
    </w:rPr>
  </w:style>
  <w:style w:type="character" w:customStyle="1" w:styleId="50">
    <w:name w:val="כותרת 5 תו"/>
    <w:basedOn w:val="a0"/>
    <w:link w:val="5"/>
    <w:uiPriority w:val="9"/>
    <w:semiHidden/>
    <w:rsid w:val="00F9134A"/>
    <w:rPr>
      <w:rFonts w:asciiTheme="majorHAnsi" w:eastAsiaTheme="majorEastAsia" w:hAnsiTheme="majorHAnsi" w:cstheme="majorBidi"/>
      <w:color w:val="2E74B5" w:themeColor="accent1" w:themeShade="B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freiberg-law.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A8C98-2F6D-4A49-A760-766C5DF42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5827</TotalTime>
  <Pages>14</Pages>
  <Words>5392</Words>
  <Characters>26960</Characters>
  <Application>Microsoft Office Word</Application>
  <DocSecurity>0</DocSecurity>
  <Lines>224</Lines>
  <Paragraphs>64</Paragraphs>
  <ScaleCrop>false</ScaleCrop>
  <HeadingPairs>
    <vt:vector size="2" baseType="variant">
      <vt:variant>
        <vt:lpstr>שם</vt:lpstr>
      </vt:variant>
      <vt:variant>
        <vt:i4>1</vt:i4>
      </vt:variant>
    </vt:vector>
  </HeadingPairs>
  <TitlesOfParts>
    <vt:vector size="1" baseType="lpstr">
      <vt:lpstr>תיק מוצגים מטעם התובעת</vt:lpstr>
    </vt:vector>
  </TitlesOfParts>
  <Manager>אילן קנר, חברת עורכי דין</Manager>
  <Company>סיגל כהן</Company>
  <LinksUpToDate>false</LinksUpToDate>
  <CharactersWithSpaces>32288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תיק מוצגים מטעם התובעת</dc:title>
  <dc:subject>8282</dc:subject>
  <dc:creator>G176375-V1</dc:creator>
  <cp:keywords>Z:\commitdocs\8282\G176375-V001.doc סיגל כהן סיגל כהן 8282 תיק מוצגים מטעם התובעת 176375-V1 G176375-V1</cp:keywords>
  <dc:description>ורדה_x000d_
סיגל כהן_x000d_
תיק מוצגים מטעם התובעת</dc:description>
  <cp:lastModifiedBy>ariel f</cp:lastModifiedBy>
  <cp:revision>49</cp:revision>
  <cp:lastPrinted>2025-10-12T07:44:00Z</cp:lastPrinted>
  <dcterms:created xsi:type="dcterms:W3CDTF">2025-08-27T10:17:00Z</dcterms:created>
  <dcterms:modified xsi:type="dcterms:W3CDTF">2025-10-12T11:06:00Z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1023138</vt:lpwstr>
  </property>
</Properties>
</file>