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028C7" w14:textId="77777777" w:rsidR="00A11071" w:rsidRPr="000D7A39" w:rsidRDefault="00A11071" w:rsidP="00AD4A43">
      <w:pPr>
        <w:spacing w:line="240" w:lineRule="auto"/>
        <w:rPr>
          <w:b/>
          <w:bCs/>
          <w:spacing w:val="12"/>
        </w:rPr>
      </w:pPr>
      <w:r w:rsidRPr="000D7A39">
        <w:rPr>
          <w:b/>
          <w:bCs/>
          <w:spacing w:val="12"/>
          <w:rtl/>
        </w:rPr>
        <w:t xml:space="preserve">בבית </w:t>
      </w:r>
      <w:r>
        <w:rPr>
          <w:rFonts w:hint="cs"/>
          <w:b/>
          <w:bCs/>
          <w:spacing w:val="12"/>
          <w:rtl/>
        </w:rPr>
        <w:t>ה</w:t>
      </w:r>
      <w:r w:rsidRPr="000D7A39">
        <w:rPr>
          <w:b/>
          <w:bCs/>
          <w:spacing w:val="12"/>
          <w:rtl/>
        </w:rPr>
        <w:t xml:space="preserve">משפט </w:t>
      </w:r>
      <w:r>
        <w:rPr>
          <w:rFonts w:hint="cs"/>
          <w:b/>
          <w:bCs/>
          <w:spacing w:val="12"/>
          <w:rtl/>
        </w:rPr>
        <w:t>המחוזי</w:t>
      </w:r>
      <w:r w:rsidRPr="000D7A39">
        <w:rPr>
          <w:b/>
          <w:bCs/>
          <w:spacing w:val="12"/>
          <w:rtl/>
        </w:rPr>
        <w:t xml:space="preserve"> </w:t>
      </w:r>
      <w:r w:rsidRPr="000D7A39">
        <w:rPr>
          <w:b/>
          <w:bCs/>
          <w:spacing w:val="12"/>
          <w:rtl/>
        </w:rPr>
        <w:tab/>
      </w:r>
      <w:r w:rsidRPr="000D7A39">
        <w:rPr>
          <w:b/>
          <w:bCs/>
          <w:spacing w:val="12"/>
          <w:rtl/>
        </w:rPr>
        <w:tab/>
      </w:r>
      <w:r>
        <w:rPr>
          <w:b/>
          <w:bCs/>
          <w:spacing w:val="12"/>
          <w:rtl/>
        </w:rPr>
        <w:tab/>
      </w:r>
      <w:r w:rsidRPr="000D7A39">
        <w:rPr>
          <w:b/>
          <w:bCs/>
          <w:spacing w:val="12"/>
          <w:rtl/>
        </w:rPr>
        <w:tab/>
        <w:t xml:space="preserve">ת.א. </w:t>
      </w:r>
      <w:r>
        <w:rPr>
          <w:rFonts w:hint="cs"/>
          <w:b/>
          <w:bCs/>
          <w:spacing w:val="12"/>
          <w:rtl/>
        </w:rPr>
        <w:t>16447-07-24</w:t>
      </w:r>
    </w:p>
    <w:p w14:paraId="70093CF9" w14:textId="77777777" w:rsidR="00A11071" w:rsidRPr="000D7A39" w:rsidRDefault="00A11071" w:rsidP="00AD4A43">
      <w:pPr>
        <w:spacing w:line="240" w:lineRule="auto"/>
        <w:rPr>
          <w:b/>
          <w:bCs/>
          <w:spacing w:val="12"/>
          <w:u w:val="single"/>
          <w:rtl/>
        </w:rPr>
      </w:pPr>
      <w:r>
        <w:rPr>
          <w:rFonts w:hint="cs"/>
          <w:b/>
          <w:bCs/>
          <w:spacing w:val="12"/>
          <w:u w:val="single"/>
          <w:rtl/>
        </w:rPr>
        <w:t>מרכז-לוד</w:t>
      </w:r>
      <w:r w:rsidRPr="00EE4441">
        <w:rPr>
          <w:b/>
          <w:bCs/>
          <w:spacing w:val="12"/>
          <w:rtl/>
        </w:rPr>
        <w:tab/>
      </w:r>
      <w:r w:rsidRPr="00EE4441">
        <w:rPr>
          <w:b/>
          <w:bCs/>
          <w:spacing w:val="12"/>
          <w:rtl/>
        </w:rPr>
        <w:tab/>
      </w:r>
      <w:r w:rsidRPr="00EE4441">
        <w:rPr>
          <w:b/>
          <w:bCs/>
          <w:spacing w:val="12"/>
          <w:rtl/>
        </w:rPr>
        <w:tab/>
      </w:r>
      <w:r w:rsidRPr="00EE4441">
        <w:rPr>
          <w:b/>
          <w:bCs/>
          <w:spacing w:val="12"/>
          <w:rtl/>
        </w:rPr>
        <w:tab/>
      </w:r>
      <w:r w:rsidRPr="00EE4441">
        <w:rPr>
          <w:b/>
          <w:bCs/>
          <w:spacing w:val="12"/>
          <w:rtl/>
        </w:rPr>
        <w:tab/>
      </w:r>
      <w:r w:rsidRPr="00EE4441">
        <w:rPr>
          <w:b/>
          <w:bCs/>
          <w:spacing w:val="12"/>
          <w:rtl/>
        </w:rPr>
        <w:tab/>
      </w:r>
      <w:r>
        <w:rPr>
          <w:rFonts w:hint="cs"/>
          <w:b/>
          <w:bCs/>
          <w:spacing w:val="12"/>
          <w:u w:val="single"/>
          <w:rtl/>
        </w:rPr>
        <w:t xml:space="preserve">בפני כב' השופטת שרון </w:t>
      </w:r>
      <w:proofErr w:type="spellStart"/>
      <w:r>
        <w:rPr>
          <w:rFonts w:hint="cs"/>
          <w:b/>
          <w:bCs/>
          <w:spacing w:val="12"/>
          <w:u w:val="single"/>
          <w:rtl/>
        </w:rPr>
        <w:t>צנציפר</w:t>
      </w:r>
      <w:proofErr w:type="spellEnd"/>
      <w:r>
        <w:rPr>
          <w:rFonts w:hint="cs"/>
          <w:b/>
          <w:bCs/>
          <w:spacing w:val="12"/>
          <w:u w:val="single"/>
          <w:rtl/>
        </w:rPr>
        <w:t>-הלפמן</w:t>
      </w:r>
    </w:p>
    <w:p w14:paraId="2D74FEC4" w14:textId="4891EB9C" w:rsidR="00A11071" w:rsidRDefault="00A11071" w:rsidP="00AD4A43">
      <w:pPr>
        <w:spacing w:line="240" w:lineRule="auto"/>
        <w:rPr>
          <w:rtl/>
        </w:rPr>
      </w:pPr>
      <w:r w:rsidRPr="00F67E86">
        <w:rPr>
          <w:rFonts w:hint="cs"/>
          <w:rtl/>
        </w:rPr>
        <w:t xml:space="preserve">תאריך חתימת המסמך: </w:t>
      </w:r>
      <w:r w:rsidR="00CB150C">
        <w:rPr>
          <w:rFonts w:hint="cs"/>
          <w:rtl/>
        </w:rPr>
        <w:t>27.7.25</w:t>
      </w:r>
      <w:r w:rsidRPr="00F67E86">
        <w:rPr>
          <w:rFonts w:hint="cs"/>
          <w:rtl/>
        </w:rPr>
        <w:tab/>
      </w:r>
    </w:p>
    <w:p w14:paraId="5CDC2592" w14:textId="77777777" w:rsidR="00A11071" w:rsidRPr="001227A2" w:rsidRDefault="00A11071" w:rsidP="00AD4A43">
      <w:pPr>
        <w:spacing w:line="240" w:lineRule="auto"/>
        <w:rPr>
          <w:b/>
          <w:bCs/>
          <w:spacing w:val="12"/>
          <w:rtl/>
        </w:rPr>
      </w:pPr>
      <w:r w:rsidRPr="00C77B34">
        <w:rPr>
          <w:rFonts w:hint="cs"/>
          <w:b/>
          <w:bCs/>
          <w:spacing w:val="12"/>
          <w:u w:val="single"/>
          <w:rtl/>
        </w:rPr>
        <w:t>התובעת</w:t>
      </w:r>
      <w:r w:rsidRPr="001227A2">
        <w:rPr>
          <w:b/>
          <w:bCs/>
          <w:spacing w:val="12"/>
          <w:rtl/>
        </w:rPr>
        <w:tab/>
      </w:r>
      <w:r w:rsidRPr="001227A2">
        <w:rPr>
          <w:b/>
          <w:bCs/>
          <w:spacing w:val="12"/>
          <w:rtl/>
        </w:rPr>
        <w:tab/>
      </w:r>
      <w:r>
        <w:rPr>
          <w:rFonts w:hint="cs"/>
          <w:b/>
          <w:bCs/>
          <w:spacing w:val="12"/>
          <w:rtl/>
        </w:rPr>
        <w:t>עדי אבידן, ת"ז 301789210</w:t>
      </w:r>
    </w:p>
    <w:p w14:paraId="049A4788" w14:textId="77777777" w:rsidR="00A11071" w:rsidRPr="001227A2" w:rsidRDefault="00A11071" w:rsidP="00AD4A43">
      <w:pPr>
        <w:spacing w:line="240" w:lineRule="auto"/>
        <w:rPr>
          <w:spacing w:val="12"/>
          <w:rtl/>
        </w:rPr>
      </w:pPr>
      <w:r w:rsidRPr="001227A2">
        <w:rPr>
          <w:spacing w:val="12"/>
          <w:rtl/>
        </w:rPr>
        <w:tab/>
      </w:r>
      <w:r w:rsidRPr="001227A2">
        <w:rPr>
          <w:spacing w:val="12"/>
          <w:rtl/>
        </w:rPr>
        <w:tab/>
      </w:r>
      <w:r w:rsidRPr="001227A2">
        <w:rPr>
          <w:b/>
          <w:bCs/>
          <w:spacing w:val="12"/>
          <w:rtl/>
        </w:rPr>
        <w:tab/>
      </w:r>
      <w:r w:rsidRPr="001227A2">
        <w:rPr>
          <w:rFonts w:hint="cs"/>
          <w:spacing w:val="12"/>
          <w:rtl/>
        </w:rPr>
        <w:t xml:space="preserve">מרחוב </w:t>
      </w:r>
      <w:r>
        <w:rPr>
          <w:rFonts w:hint="cs"/>
          <w:spacing w:val="12"/>
          <w:rtl/>
        </w:rPr>
        <w:t>בן גוריון 42, הרצליה</w:t>
      </w:r>
    </w:p>
    <w:p w14:paraId="2DB6D8B1" w14:textId="77777777" w:rsidR="00A11071" w:rsidRPr="001227A2" w:rsidRDefault="00A11071" w:rsidP="00AD4A43">
      <w:pPr>
        <w:spacing w:line="240" w:lineRule="auto"/>
        <w:rPr>
          <w:spacing w:val="12"/>
          <w:rtl/>
        </w:rPr>
      </w:pPr>
      <w:r w:rsidRPr="001227A2">
        <w:rPr>
          <w:spacing w:val="12"/>
          <w:rtl/>
        </w:rPr>
        <w:tab/>
      </w:r>
      <w:r w:rsidRPr="001227A2">
        <w:rPr>
          <w:spacing w:val="12"/>
          <w:rtl/>
        </w:rPr>
        <w:tab/>
      </w:r>
      <w:r w:rsidRPr="001227A2">
        <w:rPr>
          <w:spacing w:val="12"/>
          <w:rtl/>
        </w:rPr>
        <w:tab/>
      </w:r>
      <w:r w:rsidRPr="001227A2">
        <w:rPr>
          <w:rFonts w:hint="cs"/>
          <w:spacing w:val="12"/>
          <w:rtl/>
        </w:rPr>
        <w:t xml:space="preserve">באמצעות ב"כ עו"ד </w:t>
      </w:r>
      <w:r>
        <w:rPr>
          <w:rFonts w:hint="cs"/>
          <w:spacing w:val="12"/>
          <w:rtl/>
        </w:rPr>
        <w:t xml:space="preserve">בוריס </w:t>
      </w:r>
      <w:proofErr w:type="spellStart"/>
      <w:r>
        <w:rPr>
          <w:rFonts w:hint="cs"/>
          <w:spacing w:val="12"/>
          <w:rtl/>
        </w:rPr>
        <w:t>לויאב</w:t>
      </w:r>
      <w:proofErr w:type="spellEnd"/>
      <w:r>
        <w:rPr>
          <w:rFonts w:hint="cs"/>
          <w:spacing w:val="12"/>
          <w:rtl/>
        </w:rPr>
        <w:t xml:space="preserve"> (מ"ר 75649) ואח'</w:t>
      </w:r>
    </w:p>
    <w:p w14:paraId="5AA3BF30" w14:textId="77777777" w:rsidR="00A11071" w:rsidRPr="001227A2" w:rsidRDefault="00A11071" w:rsidP="00AD4A43">
      <w:pPr>
        <w:spacing w:line="240" w:lineRule="auto"/>
        <w:rPr>
          <w:spacing w:val="12"/>
          <w:rtl/>
        </w:rPr>
      </w:pPr>
      <w:r w:rsidRPr="001227A2">
        <w:rPr>
          <w:spacing w:val="12"/>
          <w:rtl/>
        </w:rPr>
        <w:tab/>
      </w:r>
      <w:r w:rsidRPr="001227A2">
        <w:rPr>
          <w:spacing w:val="12"/>
          <w:rtl/>
        </w:rPr>
        <w:tab/>
      </w:r>
      <w:r w:rsidRPr="001227A2">
        <w:rPr>
          <w:spacing w:val="12"/>
          <w:rtl/>
        </w:rPr>
        <w:tab/>
      </w:r>
      <w:r w:rsidRPr="001227A2">
        <w:rPr>
          <w:rFonts w:hint="cs"/>
          <w:spacing w:val="12"/>
          <w:rtl/>
        </w:rPr>
        <w:t xml:space="preserve">מרחוב </w:t>
      </w:r>
      <w:r>
        <w:rPr>
          <w:rFonts w:hint="cs"/>
          <w:spacing w:val="12"/>
          <w:rtl/>
        </w:rPr>
        <w:t>היצירה 3, רמת גן</w:t>
      </w:r>
    </w:p>
    <w:p w14:paraId="56EA79D0" w14:textId="77777777" w:rsidR="00A11071" w:rsidRDefault="00A11071" w:rsidP="00AD4A43">
      <w:pPr>
        <w:spacing w:line="240" w:lineRule="auto"/>
        <w:rPr>
          <w:spacing w:val="12"/>
          <w:rtl/>
        </w:rPr>
      </w:pPr>
      <w:r w:rsidRPr="001227A2">
        <w:rPr>
          <w:spacing w:val="12"/>
          <w:rtl/>
        </w:rPr>
        <w:tab/>
      </w:r>
      <w:r w:rsidRPr="001227A2">
        <w:rPr>
          <w:spacing w:val="12"/>
          <w:rtl/>
        </w:rPr>
        <w:tab/>
      </w:r>
      <w:r w:rsidRPr="001227A2">
        <w:rPr>
          <w:spacing w:val="12"/>
          <w:rtl/>
        </w:rPr>
        <w:tab/>
      </w:r>
      <w:r w:rsidRPr="001227A2">
        <w:rPr>
          <w:rFonts w:hint="cs"/>
          <w:spacing w:val="12"/>
          <w:rtl/>
        </w:rPr>
        <w:t xml:space="preserve">טל': </w:t>
      </w:r>
      <w:r>
        <w:rPr>
          <w:rFonts w:hint="cs"/>
          <w:spacing w:val="12"/>
          <w:rtl/>
        </w:rPr>
        <w:t>03</w:t>
      </w:r>
      <w:r w:rsidRPr="001227A2">
        <w:rPr>
          <w:rFonts w:hint="cs"/>
          <w:spacing w:val="12"/>
          <w:rtl/>
        </w:rPr>
        <w:t>-</w:t>
      </w:r>
      <w:r>
        <w:rPr>
          <w:rFonts w:hint="cs"/>
          <w:spacing w:val="12"/>
          <w:rtl/>
        </w:rPr>
        <w:t>6914004</w:t>
      </w:r>
      <w:r w:rsidRPr="001227A2">
        <w:rPr>
          <w:rFonts w:hint="cs"/>
          <w:spacing w:val="12"/>
          <w:rtl/>
        </w:rPr>
        <w:t xml:space="preserve">;פקס: </w:t>
      </w:r>
      <w:r>
        <w:rPr>
          <w:rFonts w:hint="cs"/>
          <w:spacing w:val="12"/>
          <w:rtl/>
        </w:rPr>
        <w:t>03-6914003</w:t>
      </w:r>
    </w:p>
    <w:p w14:paraId="7C50178C" w14:textId="77777777" w:rsidR="00A11071" w:rsidRPr="002C179B" w:rsidRDefault="00A11071" w:rsidP="00AD4A43">
      <w:pPr>
        <w:spacing w:line="240" w:lineRule="auto"/>
        <w:rPr>
          <w:rFonts w:ascii="David" w:hAnsi="David"/>
          <w:spacing w:val="12"/>
          <w:rtl/>
        </w:rPr>
      </w:pPr>
      <w:r>
        <w:rPr>
          <w:spacing w:val="12"/>
          <w:rtl/>
        </w:rPr>
        <w:tab/>
      </w:r>
      <w:r>
        <w:rPr>
          <w:spacing w:val="12"/>
          <w:rtl/>
        </w:rPr>
        <w:tab/>
      </w:r>
      <w:r>
        <w:rPr>
          <w:spacing w:val="12"/>
          <w:rtl/>
        </w:rPr>
        <w:tab/>
      </w:r>
      <w:r>
        <w:rPr>
          <w:rFonts w:hint="cs"/>
          <w:spacing w:val="12"/>
          <w:rtl/>
        </w:rPr>
        <w:t>דוא"ל:</w:t>
      </w:r>
      <w:r w:rsidRPr="003D354C">
        <w:rPr>
          <w:spacing w:val="12"/>
        </w:rPr>
        <w:t xml:space="preserve"> </w:t>
      </w:r>
      <w:hyperlink r:id="rId6" w:history="1">
        <w:r w:rsidRPr="002C179B">
          <w:rPr>
            <w:rStyle w:val="Hyperlink"/>
            <w:rFonts w:ascii="David" w:hAnsi="David"/>
            <w:color w:val="auto"/>
            <w:spacing w:val="12"/>
            <w:szCs w:val="28"/>
          </w:rPr>
          <w:t>borislev@yashar-law.co.il</w:t>
        </w:r>
      </w:hyperlink>
    </w:p>
    <w:p w14:paraId="63561A49" w14:textId="77777777" w:rsidR="00A11071" w:rsidRPr="001227A2" w:rsidRDefault="00A11071" w:rsidP="00AD4A43">
      <w:pPr>
        <w:spacing w:line="240" w:lineRule="auto"/>
        <w:ind w:left="2880"/>
        <w:rPr>
          <w:spacing w:val="12"/>
          <w:rtl/>
        </w:rPr>
      </w:pPr>
      <w:r w:rsidRPr="001227A2">
        <w:rPr>
          <w:b/>
          <w:bCs/>
          <w:spacing w:val="12"/>
          <w:rtl/>
        </w:rPr>
        <w:t xml:space="preserve">       –  נ ג ד  –</w:t>
      </w:r>
    </w:p>
    <w:p w14:paraId="746CDA37" w14:textId="77777777" w:rsidR="00A11071" w:rsidRPr="001227A2" w:rsidRDefault="00A11071" w:rsidP="00AD4A43">
      <w:pPr>
        <w:spacing w:line="240" w:lineRule="auto"/>
        <w:rPr>
          <w:b/>
          <w:bCs/>
          <w:spacing w:val="12"/>
          <w:rtl/>
        </w:rPr>
      </w:pPr>
      <w:r w:rsidRPr="00C77B34">
        <w:rPr>
          <w:rFonts w:hint="cs"/>
          <w:b/>
          <w:bCs/>
          <w:spacing w:val="12"/>
          <w:u w:val="single"/>
          <w:rtl/>
        </w:rPr>
        <w:t>הנתבעים</w:t>
      </w:r>
      <w:r w:rsidRPr="001227A2">
        <w:rPr>
          <w:b/>
          <w:bCs/>
          <w:spacing w:val="12"/>
          <w:rtl/>
        </w:rPr>
        <w:t>:</w:t>
      </w:r>
      <w:r w:rsidRPr="001227A2">
        <w:rPr>
          <w:b/>
          <w:bCs/>
          <w:spacing w:val="12"/>
          <w:rtl/>
        </w:rPr>
        <w:tab/>
      </w:r>
      <w:r>
        <w:rPr>
          <w:b/>
          <w:bCs/>
          <w:spacing w:val="12"/>
          <w:rtl/>
        </w:rPr>
        <w:tab/>
      </w:r>
      <w:r w:rsidRPr="001227A2">
        <w:rPr>
          <w:rFonts w:hint="cs"/>
          <w:b/>
          <w:bCs/>
          <w:spacing w:val="12"/>
          <w:rtl/>
        </w:rPr>
        <w:t>1.</w:t>
      </w:r>
      <w:r>
        <w:rPr>
          <w:rFonts w:hint="cs"/>
          <w:b/>
          <w:bCs/>
          <w:spacing w:val="12"/>
          <w:rtl/>
        </w:rPr>
        <w:t xml:space="preserve"> מ.ד. </w:t>
      </w:r>
      <w:proofErr w:type="spellStart"/>
      <w:r>
        <w:rPr>
          <w:rFonts w:hint="cs"/>
          <w:b/>
          <w:bCs/>
          <w:spacing w:val="12"/>
          <w:rtl/>
        </w:rPr>
        <w:t>מדיקל</w:t>
      </w:r>
      <w:proofErr w:type="spellEnd"/>
      <w:r>
        <w:rPr>
          <w:rFonts w:hint="cs"/>
          <w:b/>
          <w:bCs/>
          <w:spacing w:val="12"/>
          <w:rtl/>
        </w:rPr>
        <w:t xml:space="preserve"> </w:t>
      </w:r>
      <w:proofErr w:type="spellStart"/>
      <w:r>
        <w:rPr>
          <w:rFonts w:hint="cs"/>
          <w:b/>
          <w:bCs/>
          <w:spacing w:val="12"/>
          <w:rtl/>
        </w:rPr>
        <w:t>קליניק</w:t>
      </w:r>
      <w:proofErr w:type="spellEnd"/>
      <w:r>
        <w:rPr>
          <w:rFonts w:hint="cs"/>
          <w:b/>
          <w:bCs/>
          <w:spacing w:val="12"/>
          <w:rtl/>
        </w:rPr>
        <w:t xml:space="preserve"> בע"מ, ח.פ. 513302315</w:t>
      </w:r>
    </w:p>
    <w:p w14:paraId="0EFC653F" w14:textId="77777777" w:rsidR="00A11071" w:rsidRDefault="00A11071" w:rsidP="00AD4A43">
      <w:pPr>
        <w:spacing w:line="240" w:lineRule="auto"/>
        <w:rPr>
          <w:rFonts w:ascii="David" w:hAnsi="David"/>
          <w:spacing w:val="12"/>
          <w:rtl/>
        </w:rPr>
      </w:pPr>
      <w:r w:rsidRPr="001227A2">
        <w:rPr>
          <w:spacing w:val="12"/>
          <w:rtl/>
        </w:rPr>
        <w:tab/>
      </w:r>
      <w:r w:rsidRPr="001227A2">
        <w:rPr>
          <w:spacing w:val="12"/>
          <w:rtl/>
        </w:rPr>
        <w:tab/>
      </w:r>
      <w:r w:rsidRPr="001227A2">
        <w:rPr>
          <w:spacing w:val="12"/>
          <w:rtl/>
        </w:rPr>
        <w:tab/>
      </w:r>
      <w:r>
        <w:rPr>
          <w:rFonts w:ascii="David" w:hAnsi="David" w:hint="cs"/>
          <w:spacing w:val="12"/>
          <w:rtl/>
        </w:rPr>
        <w:t>מרחוב אבא הלל 7, רמת גן</w:t>
      </w:r>
    </w:p>
    <w:p w14:paraId="32C6D09C" w14:textId="77777777" w:rsidR="00A11071" w:rsidRPr="007B5981" w:rsidRDefault="00A11071" w:rsidP="00AD4A43">
      <w:pPr>
        <w:spacing w:line="240" w:lineRule="auto"/>
        <w:ind w:left="1654" w:firstLine="506"/>
        <w:rPr>
          <w:rFonts w:ascii="David" w:hAnsi="David"/>
          <w:b/>
          <w:bCs/>
          <w:spacing w:val="12"/>
          <w:rtl/>
        </w:rPr>
      </w:pPr>
      <w:r w:rsidRPr="007B5981">
        <w:rPr>
          <w:rFonts w:ascii="David" w:hAnsi="David" w:hint="cs"/>
          <w:b/>
          <w:bCs/>
          <w:spacing w:val="12"/>
          <w:rtl/>
        </w:rPr>
        <w:t xml:space="preserve">2. </w:t>
      </w:r>
      <w:r>
        <w:rPr>
          <w:rFonts w:ascii="David" w:hAnsi="David" w:hint="cs"/>
          <w:b/>
          <w:bCs/>
          <w:spacing w:val="12"/>
          <w:rtl/>
        </w:rPr>
        <w:t xml:space="preserve">ד"ר אולג </w:t>
      </w:r>
      <w:proofErr w:type="spellStart"/>
      <w:r>
        <w:rPr>
          <w:rFonts w:ascii="David" w:hAnsi="David" w:hint="cs"/>
          <w:b/>
          <w:bCs/>
          <w:spacing w:val="12"/>
          <w:rtl/>
        </w:rPr>
        <w:t>שפירו</w:t>
      </w:r>
      <w:proofErr w:type="spellEnd"/>
      <w:r>
        <w:rPr>
          <w:rFonts w:ascii="David" w:hAnsi="David" w:hint="cs"/>
          <w:b/>
          <w:bCs/>
          <w:spacing w:val="12"/>
          <w:rtl/>
        </w:rPr>
        <w:t xml:space="preserve">, ת"ז 317125086 </w:t>
      </w:r>
    </w:p>
    <w:p w14:paraId="103DD0CF" w14:textId="77777777" w:rsidR="00A11071" w:rsidRDefault="00A11071" w:rsidP="00AD4A43">
      <w:pPr>
        <w:spacing w:line="240" w:lineRule="auto"/>
        <w:ind w:left="1654" w:firstLine="506"/>
        <w:rPr>
          <w:spacing w:val="12"/>
          <w:rtl/>
        </w:rPr>
      </w:pPr>
      <w:r w:rsidRPr="001227A2">
        <w:rPr>
          <w:rFonts w:hint="cs"/>
          <w:spacing w:val="12"/>
          <w:rtl/>
        </w:rPr>
        <w:t xml:space="preserve">מרחוב </w:t>
      </w:r>
      <w:r>
        <w:rPr>
          <w:rFonts w:hint="cs"/>
          <w:spacing w:val="12"/>
          <w:rtl/>
        </w:rPr>
        <w:t>אבא הלל 7, רמת גן</w:t>
      </w:r>
    </w:p>
    <w:p w14:paraId="2E804A66" w14:textId="77777777" w:rsidR="00A11071" w:rsidRDefault="00A11071" w:rsidP="00AD4A43">
      <w:pPr>
        <w:spacing w:line="240" w:lineRule="auto"/>
        <w:ind w:left="1654" w:firstLine="506"/>
        <w:rPr>
          <w:rFonts w:ascii="David" w:hAnsi="David"/>
          <w:spacing w:val="12"/>
          <w:rtl/>
        </w:rPr>
      </w:pPr>
      <w:r>
        <w:rPr>
          <w:rFonts w:hint="cs"/>
          <w:spacing w:val="12"/>
          <w:rtl/>
        </w:rPr>
        <w:t>טלפון: 050-3331254</w:t>
      </w:r>
    </w:p>
    <w:p w14:paraId="109BD932" w14:textId="77777777" w:rsidR="00A11071" w:rsidRPr="001227A2" w:rsidRDefault="00A11071" w:rsidP="00AD4A43">
      <w:pPr>
        <w:spacing w:line="240" w:lineRule="auto"/>
        <w:ind w:left="2160" w:right="1890"/>
        <w:rPr>
          <w:rFonts w:ascii="David" w:hAnsi="David"/>
          <w:spacing w:val="12"/>
          <w:rtl/>
        </w:rPr>
      </w:pPr>
      <w:r>
        <w:rPr>
          <w:rFonts w:ascii="David" w:hAnsi="David" w:hint="cs"/>
          <w:spacing w:val="12"/>
          <w:rtl/>
        </w:rPr>
        <w:t xml:space="preserve">שניהם </w:t>
      </w:r>
      <w:r w:rsidRPr="001227A2">
        <w:rPr>
          <w:rFonts w:ascii="David" w:hAnsi="David"/>
          <w:spacing w:val="12"/>
          <w:rtl/>
        </w:rPr>
        <w:t>באמצעות ב"כ עו"ד אריאל פרייברג</w:t>
      </w:r>
      <w:r w:rsidRPr="001227A2">
        <w:rPr>
          <w:rFonts w:ascii="David" w:hAnsi="David" w:hint="cs"/>
          <w:spacing w:val="12"/>
          <w:rtl/>
        </w:rPr>
        <w:t xml:space="preserve"> (מ"ר 62254) ו/או יגאל רסקין</w:t>
      </w:r>
    </w:p>
    <w:p w14:paraId="45E803A5" w14:textId="77777777" w:rsidR="00A11071" w:rsidRPr="001227A2" w:rsidRDefault="00A11071" w:rsidP="00AD4A43">
      <w:pPr>
        <w:spacing w:line="240" w:lineRule="auto"/>
        <w:ind w:left="934"/>
        <w:rPr>
          <w:rFonts w:ascii="David" w:hAnsi="David"/>
          <w:spacing w:val="12"/>
        </w:rPr>
      </w:pPr>
      <w:r w:rsidRPr="001227A2">
        <w:rPr>
          <w:rFonts w:ascii="David" w:hAnsi="David"/>
          <w:rtl/>
        </w:rPr>
        <w:tab/>
      </w:r>
      <w:r w:rsidRPr="001227A2">
        <w:rPr>
          <w:rFonts w:ascii="David" w:hAnsi="David"/>
          <w:rtl/>
        </w:rPr>
        <w:tab/>
      </w:r>
      <w:r w:rsidRPr="001227A2">
        <w:rPr>
          <w:rFonts w:ascii="David" w:hAnsi="David"/>
          <w:spacing w:val="12"/>
          <w:rtl/>
        </w:rPr>
        <w:t>מרחוב אבא הלל 7,  רמת גן</w:t>
      </w:r>
    </w:p>
    <w:p w14:paraId="70E0986C" w14:textId="77777777" w:rsidR="00A11071" w:rsidRPr="001227A2" w:rsidRDefault="00A11071" w:rsidP="00AD4A43">
      <w:pPr>
        <w:spacing w:line="240" w:lineRule="auto"/>
        <w:ind w:left="1654" w:firstLine="506"/>
        <w:rPr>
          <w:rFonts w:ascii="David" w:hAnsi="David"/>
          <w:spacing w:val="12"/>
          <w:rtl/>
        </w:rPr>
      </w:pPr>
      <w:r w:rsidRPr="001227A2">
        <w:rPr>
          <w:rFonts w:ascii="David" w:hAnsi="David"/>
          <w:spacing w:val="12"/>
          <w:rtl/>
        </w:rPr>
        <w:t>טל': 03-7412358  פקס': 077-3180983</w:t>
      </w:r>
    </w:p>
    <w:p w14:paraId="73444C03" w14:textId="77777777" w:rsidR="00A11071" w:rsidRPr="001227A2" w:rsidRDefault="00A11071" w:rsidP="00AD4A43">
      <w:pPr>
        <w:spacing w:line="240" w:lineRule="auto"/>
        <w:ind w:left="1654" w:firstLine="506"/>
        <w:rPr>
          <w:rFonts w:ascii="David" w:hAnsi="David"/>
          <w:spacing w:val="12"/>
          <w:rtl/>
        </w:rPr>
      </w:pPr>
      <w:r w:rsidRPr="001227A2">
        <w:rPr>
          <w:rFonts w:ascii="David" w:hAnsi="David" w:hint="cs"/>
          <w:spacing w:val="12"/>
          <w:rtl/>
        </w:rPr>
        <w:t xml:space="preserve">דוא"ל: </w:t>
      </w:r>
      <w:hyperlink r:id="rId7" w:history="1">
        <w:r w:rsidRPr="003E540E">
          <w:rPr>
            <w:rStyle w:val="Hyperlink"/>
            <w:rFonts w:ascii="David" w:hAnsi="David"/>
            <w:color w:val="auto"/>
            <w:spacing w:val="12"/>
            <w:szCs w:val="28"/>
          </w:rPr>
          <w:t>Office@freiberg-law.com</w:t>
        </w:r>
      </w:hyperlink>
    </w:p>
    <w:p w14:paraId="15315F2E" w14:textId="77777777" w:rsidR="00C11F99" w:rsidRDefault="00C11F99" w:rsidP="00C11F99">
      <w:pPr>
        <w:rPr>
          <w:rtl/>
        </w:rPr>
      </w:pPr>
    </w:p>
    <w:p w14:paraId="0BA10DB0" w14:textId="42116ED6" w:rsidR="000A4F8D" w:rsidRPr="00612903" w:rsidRDefault="000A4F8D" w:rsidP="000A4F8D">
      <w:pPr>
        <w:pStyle w:val="af1"/>
        <w:spacing w:line="360" w:lineRule="auto"/>
        <w:ind w:hanging="2"/>
        <w:jc w:val="center"/>
        <w:rPr>
          <w:rFonts w:cs="David"/>
          <w:b/>
          <w:bCs/>
          <w:sz w:val="36"/>
          <w:szCs w:val="36"/>
          <w:u w:val="double"/>
          <w:rtl/>
        </w:rPr>
      </w:pPr>
      <w:r w:rsidRPr="00612903">
        <w:rPr>
          <w:rFonts w:cs="David" w:hint="cs"/>
          <w:b/>
          <w:bCs/>
          <w:sz w:val="36"/>
          <w:szCs w:val="36"/>
          <w:u w:val="double"/>
          <w:rtl/>
        </w:rPr>
        <w:t>בקשה לעיכוב חשיפת תצהיר חוקר</w:t>
      </w:r>
    </w:p>
    <w:p w14:paraId="3C96BDF4" w14:textId="77777777" w:rsidR="000A4F8D" w:rsidRPr="00773A31" w:rsidRDefault="000A4F8D" w:rsidP="000A4F8D">
      <w:pPr>
        <w:pStyle w:val="af1"/>
        <w:spacing w:line="360" w:lineRule="auto"/>
        <w:jc w:val="both"/>
        <w:rPr>
          <w:rFonts w:cs="David"/>
          <w:sz w:val="12"/>
          <w:szCs w:val="12"/>
          <w:rtl/>
        </w:rPr>
      </w:pPr>
    </w:p>
    <w:p w14:paraId="7E020923" w14:textId="44DFBE8D" w:rsidR="000A4F8D" w:rsidRDefault="000A4F8D" w:rsidP="000A4F8D">
      <w:pPr>
        <w:pStyle w:val="af1"/>
        <w:spacing w:line="360" w:lineRule="auto"/>
        <w:ind w:left="-199"/>
        <w:jc w:val="both"/>
        <w:rPr>
          <w:rFonts w:cs="David"/>
          <w:sz w:val="24"/>
          <w:szCs w:val="24"/>
          <w:rtl/>
        </w:rPr>
      </w:pPr>
      <w:r>
        <w:rPr>
          <w:rFonts w:cs="David" w:hint="cs"/>
          <w:sz w:val="24"/>
          <w:szCs w:val="24"/>
          <w:rtl/>
        </w:rPr>
        <w:t>בית המשפט הנכבד מתבקש בזאת לאפשר לנתבע</w:t>
      </w:r>
      <w:r w:rsidR="00A11071">
        <w:rPr>
          <w:rFonts w:cs="David" w:hint="cs"/>
          <w:sz w:val="24"/>
          <w:szCs w:val="24"/>
          <w:rtl/>
        </w:rPr>
        <w:t>ים</w:t>
      </w:r>
      <w:r>
        <w:rPr>
          <w:rFonts w:cs="David" w:hint="cs"/>
          <w:sz w:val="24"/>
          <w:szCs w:val="24"/>
          <w:rtl/>
        </w:rPr>
        <w:t xml:space="preserve"> לעכב את חשיפת תצהיר החוקר</w:t>
      </w:r>
      <w:r w:rsidR="002C179B">
        <w:rPr>
          <w:rFonts w:cs="David" w:hint="cs"/>
          <w:sz w:val="24"/>
          <w:szCs w:val="24"/>
          <w:rtl/>
        </w:rPr>
        <w:t xml:space="preserve"> ודו"ח החקירה</w:t>
      </w:r>
      <w:r>
        <w:rPr>
          <w:rFonts w:cs="David" w:hint="cs"/>
          <w:sz w:val="24"/>
          <w:szCs w:val="24"/>
          <w:rtl/>
        </w:rPr>
        <w:t xml:space="preserve">, עד </w:t>
      </w:r>
      <w:r w:rsidRPr="00043F56">
        <w:rPr>
          <w:rFonts w:cs="David" w:hint="cs"/>
          <w:sz w:val="24"/>
          <w:szCs w:val="24"/>
          <w:rtl/>
        </w:rPr>
        <w:t xml:space="preserve">לאחר תום </w:t>
      </w:r>
      <w:r>
        <w:rPr>
          <w:rFonts w:cs="David" w:hint="cs"/>
          <w:sz w:val="24"/>
          <w:szCs w:val="24"/>
          <w:rtl/>
        </w:rPr>
        <w:t>פרשת התביעה</w:t>
      </w:r>
      <w:r w:rsidR="002C179B">
        <w:rPr>
          <w:rFonts w:cs="David" w:hint="cs"/>
          <w:sz w:val="24"/>
          <w:szCs w:val="24"/>
          <w:rtl/>
        </w:rPr>
        <w:t xml:space="preserve"> כדלקמן:</w:t>
      </w:r>
    </w:p>
    <w:p w14:paraId="2F257934" w14:textId="77777777" w:rsidR="000A4F8D" w:rsidRPr="00773A31" w:rsidRDefault="000A4F8D" w:rsidP="000A4F8D">
      <w:pPr>
        <w:pStyle w:val="af1"/>
        <w:spacing w:line="360" w:lineRule="auto"/>
        <w:ind w:left="-199"/>
        <w:jc w:val="both"/>
        <w:rPr>
          <w:rFonts w:cs="David"/>
          <w:sz w:val="12"/>
          <w:szCs w:val="12"/>
          <w:rtl/>
        </w:rPr>
      </w:pPr>
    </w:p>
    <w:p w14:paraId="4BA79289" w14:textId="77777777" w:rsidR="000A4F8D" w:rsidRPr="00393E77" w:rsidRDefault="000A4F8D" w:rsidP="000A4F8D">
      <w:pPr>
        <w:pStyle w:val="af1"/>
        <w:spacing w:line="360" w:lineRule="auto"/>
        <w:ind w:left="-199" w:hanging="423"/>
        <w:jc w:val="both"/>
        <w:rPr>
          <w:rFonts w:cs="David"/>
          <w:sz w:val="24"/>
          <w:szCs w:val="24"/>
          <w:rtl/>
        </w:rPr>
      </w:pPr>
      <w:r w:rsidRPr="00043F56">
        <w:rPr>
          <w:rFonts w:cs="David" w:hint="cs"/>
          <w:b/>
          <w:bCs/>
          <w:sz w:val="24"/>
          <w:szCs w:val="24"/>
          <w:u w:val="single"/>
          <w:rtl/>
        </w:rPr>
        <w:t>ואלו נימוקי הבקשה</w:t>
      </w:r>
      <w:r w:rsidRPr="00043F56">
        <w:rPr>
          <w:rFonts w:cs="David" w:hint="cs"/>
          <w:b/>
          <w:bCs/>
          <w:sz w:val="24"/>
          <w:szCs w:val="24"/>
          <w:rtl/>
        </w:rPr>
        <w:t>:</w:t>
      </w:r>
    </w:p>
    <w:p w14:paraId="76AD7905" w14:textId="2CE61D72" w:rsidR="000A4F8D" w:rsidRDefault="00A11071" w:rsidP="000A4F8D">
      <w:pPr>
        <w:pStyle w:val="af1"/>
        <w:numPr>
          <w:ilvl w:val="0"/>
          <w:numId w:val="1"/>
        </w:numPr>
        <w:spacing w:line="360" w:lineRule="auto"/>
        <w:ind w:left="-199" w:hanging="423"/>
        <w:jc w:val="both"/>
        <w:rPr>
          <w:rFonts w:cs="David"/>
          <w:noProof/>
          <w:sz w:val="24"/>
          <w:szCs w:val="24"/>
        </w:rPr>
      </w:pPr>
      <w:r>
        <w:rPr>
          <w:rFonts w:cs="David" w:hint="cs"/>
          <w:noProof/>
          <w:sz w:val="24"/>
          <w:szCs w:val="24"/>
          <w:rtl/>
        </w:rPr>
        <w:t>עסקינן בתביעה במסגרתה טוענת התובעת לרשלנות ולטענתה בעטיה נגרמו לה נזקי כמפורט בחוות הדעת שצורפו לכתב תביעתה ולראיותיה.</w:t>
      </w:r>
    </w:p>
    <w:p w14:paraId="2AFC8484" w14:textId="2F401AA3" w:rsidR="00A11071" w:rsidRDefault="00A11071" w:rsidP="000A4F8D">
      <w:pPr>
        <w:pStyle w:val="af1"/>
        <w:numPr>
          <w:ilvl w:val="0"/>
          <w:numId w:val="1"/>
        </w:numPr>
        <w:spacing w:line="360" w:lineRule="auto"/>
        <w:ind w:left="-199" w:hanging="423"/>
        <w:jc w:val="both"/>
        <w:rPr>
          <w:rFonts w:cs="David"/>
          <w:noProof/>
          <w:sz w:val="24"/>
          <w:szCs w:val="24"/>
        </w:rPr>
      </w:pPr>
      <w:r>
        <w:rPr>
          <w:rFonts w:cs="David" w:hint="cs"/>
          <w:noProof/>
          <w:sz w:val="24"/>
          <w:szCs w:val="24"/>
          <w:rtl/>
        </w:rPr>
        <w:t>אולם, בשונה מתיקים רבים אחרים המתבררים בבית משפט נכבד זה ובערכאות השונות, בעניינו הנדון יש הכחשה גורפת ומחלוקת רבתית על כל יסודות התביעה הן במישור האחריות והן במישור הנזק.</w:t>
      </w:r>
    </w:p>
    <w:p w14:paraId="5DCB9701" w14:textId="77777777" w:rsidR="005133AD" w:rsidRDefault="00A11071" w:rsidP="000A4F8D">
      <w:pPr>
        <w:pStyle w:val="af1"/>
        <w:numPr>
          <w:ilvl w:val="0"/>
          <w:numId w:val="1"/>
        </w:numPr>
        <w:spacing w:line="360" w:lineRule="auto"/>
        <w:ind w:left="-199" w:hanging="423"/>
        <w:jc w:val="both"/>
        <w:rPr>
          <w:rFonts w:cs="David"/>
          <w:noProof/>
          <w:sz w:val="24"/>
          <w:szCs w:val="24"/>
        </w:rPr>
      </w:pPr>
      <w:r>
        <w:rPr>
          <w:rFonts w:cs="David" w:hint="cs"/>
          <w:noProof/>
          <w:sz w:val="24"/>
          <w:szCs w:val="24"/>
          <w:rtl/>
        </w:rPr>
        <w:t xml:space="preserve">אין המדובר בהכחשה כמוה נתקל בית המשפט הנכבד מדי יום, אלא, הכחשה המתבססת על התנהלות התובעת ועל הסתירות הרבות בטענותיה. </w:t>
      </w:r>
      <w:r w:rsidR="005133AD">
        <w:rPr>
          <w:rFonts w:cs="David" w:hint="cs"/>
          <w:noProof/>
          <w:sz w:val="24"/>
          <w:szCs w:val="24"/>
          <w:rtl/>
        </w:rPr>
        <w:t>כמו גם על התמיהות שמתעוררות מעיון בתיעוד הרפואי מעברה ומהווה.</w:t>
      </w:r>
    </w:p>
    <w:p w14:paraId="1DC55F74" w14:textId="77777777" w:rsidR="00DF4A21" w:rsidRDefault="00DF4A21" w:rsidP="00DF4A21">
      <w:pPr>
        <w:pStyle w:val="af1"/>
        <w:spacing w:line="360" w:lineRule="auto"/>
        <w:ind w:left="-199"/>
        <w:jc w:val="both"/>
        <w:rPr>
          <w:rFonts w:cs="David"/>
          <w:noProof/>
          <w:sz w:val="24"/>
          <w:szCs w:val="24"/>
        </w:rPr>
      </w:pPr>
    </w:p>
    <w:p w14:paraId="0B73F002" w14:textId="77E73BC3" w:rsidR="005133AD" w:rsidRDefault="005133AD" w:rsidP="000A4F8D">
      <w:pPr>
        <w:pStyle w:val="af1"/>
        <w:numPr>
          <w:ilvl w:val="0"/>
          <w:numId w:val="1"/>
        </w:numPr>
        <w:spacing w:line="360" w:lineRule="auto"/>
        <w:ind w:left="-199" w:hanging="423"/>
        <w:jc w:val="both"/>
        <w:rPr>
          <w:rFonts w:cs="David"/>
          <w:noProof/>
          <w:sz w:val="24"/>
          <w:szCs w:val="24"/>
        </w:rPr>
      </w:pPr>
      <w:r>
        <w:rPr>
          <w:rFonts w:cs="David" w:hint="cs"/>
          <w:noProof/>
          <w:sz w:val="24"/>
          <w:szCs w:val="24"/>
          <w:rtl/>
        </w:rPr>
        <w:t xml:space="preserve">יצויין כי מומחי הנתבעים, כמו גם רופאים שטיפלו בה במהלך הדרך, לא מצאו ממצא רפואי. למעשה פרופ' פלד, מומחה פסיכיאטרי קובע שמדובר בהתחזות, ד"ר מאיר כהן, מומחה בכירורגיה פלסטית שבדק גם הוא </w:t>
      </w:r>
      <w:r>
        <w:rPr>
          <w:rFonts w:cs="David" w:hint="cs"/>
          <w:noProof/>
          <w:sz w:val="24"/>
          <w:szCs w:val="24"/>
          <w:rtl/>
        </w:rPr>
        <w:lastRenderedPageBreak/>
        <w:t>את התובעת קובע בחוות דעת קביעות חד משמעיות. גם ד"ר כץ קובע קביעות מהותיות ויש גם בכל אלה כדי להצביע על גודל הפער והסיבה בגינה מוגשת בקשה זו.</w:t>
      </w:r>
    </w:p>
    <w:p w14:paraId="26A7747B" w14:textId="77777777" w:rsidR="00DF4A21" w:rsidRDefault="00DF4A21" w:rsidP="00DF4A21">
      <w:pPr>
        <w:pStyle w:val="af1"/>
        <w:spacing w:line="360" w:lineRule="auto"/>
        <w:ind w:left="-199"/>
        <w:jc w:val="both"/>
        <w:rPr>
          <w:rFonts w:cs="David"/>
          <w:noProof/>
          <w:sz w:val="24"/>
          <w:szCs w:val="24"/>
        </w:rPr>
      </w:pPr>
    </w:p>
    <w:p w14:paraId="60EC750E" w14:textId="0DB02290" w:rsidR="00A11071" w:rsidRDefault="005133AD" w:rsidP="000A4F8D">
      <w:pPr>
        <w:pStyle w:val="af1"/>
        <w:numPr>
          <w:ilvl w:val="0"/>
          <w:numId w:val="1"/>
        </w:numPr>
        <w:spacing w:line="360" w:lineRule="auto"/>
        <w:ind w:left="-199" w:hanging="423"/>
        <w:jc w:val="both"/>
        <w:rPr>
          <w:rFonts w:cs="David"/>
          <w:noProof/>
          <w:sz w:val="24"/>
          <w:szCs w:val="24"/>
        </w:rPr>
      </w:pPr>
      <w:r>
        <w:rPr>
          <w:rFonts w:cs="David" w:hint="cs"/>
          <w:noProof/>
          <w:sz w:val="24"/>
          <w:szCs w:val="24"/>
          <w:rtl/>
        </w:rPr>
        <w:t xml:space="preserve">בשולי הטענות אך לא בשולי חשיבותן, התובעת אשר צירפה לכתב תביעתה 3 חוות דעת לא נשאה בעלות חוות הדעת, התובעת פנתה לחברת מימון שתישא בעלות חוות הדעת בתמורה לחלק מהפיצוי שהיא טוענת לו ו/או חלק משמעותי משכר טרחת ב"כ ובכך דבר אשר מונע לא אחת תביעות סרק נסללה דרכה </w:t>
      </w:r>
      <w:r w:rsidR="00746ED4">
        <w:rPr>
          <w:rFonts w:cs="David" w:hint="cs"/>
          <w:noProof/>
          <w:sz w:val="24"/>
          <w:szCs w:val="24"/>
          <w:rtl/>
        </w:rPr>
        <w:t>לשערי בית המשפט הנכבד</w:t>
      </w:r>
      <w:r w:rsidR="00A11071">
        <w:rPr>
          <w:rFonts w:cs="David" w:hint="cs"/>
          <w:noProof/>
          <w:sz w:val="24"/>
          <w:szCs w:val="24"/>
          <w:rtl/>
        </w:rPr>
        <w:t xml:space="preserve"> </w:t>
      </w:r>
      <w:r w:rsidR="00746ED4">
        <w:rPr>
          <w:rFonts w:cs="David" w:hint="cs"/>
          <w:noProof/>
          <w:sz w:val="24"/>
          <w:szCs w:val="24"/>
          <w:rtl/>
        </w:rPr>
        <w:t>מבלי שנגרמה לה הוצאה כלכלית לא מבוטלת. וזאת, להבדיל מהנתבעים אשר נאלצו להוציא סכומים כבירים אך על מנת לנהל את ההגנה מפני תביעה שמוטב היה אילו לא באה לעולם.</w:t>
      </w:r>
    </w:p>
    <w:p w14:paraId="78B7ADED" w14:textId="77777777" w:rsidR="00DF4A21" w:rsidRDefault="00DF4A21" w:rsidP="00DF4A21">
      <w:pPr>
        <w:pStyle w:val="af1"/>
        <w:spacing w:line="360" w:lineRule="auto"/>
        <w:ind w:left="-199"/>
        <w:jc w:val="both"/>
        <w:rPr>
          <w:rFonts w:cs="David"/>
          <w:noProof/>
          <w:sz w:val="24"/>
          <w:szCs w:val="24"/>
        </w:rPr>
      </w:pPr>
    </w:p>
    <w:p w14:paraId="0726D7D8" w14:textId="22BEADE0" w:rsidR="00A32C25" w:rsidRDefault="00A32C25" w:rsidP="000A4F8D">
      <w:pPr>
        <w:pStyle w:val="af1"/>
        <w:numPr>
          <w:ilvl w:val="0"/>
          <w:numId w:val="1"/>
        </w:numPr>
        <w:spacing w:line="360" w:lineRule="auto"/>
        <w:ind w:left="-199" w:hanging="423"/>
        <w:jc w:val="both"/>
        <w:rPr>
          <w:rFonts w:cs="David"/>
          <w:noProof/>
          <w:sz w:val="24"/>
          <w:szCs w:val="24"/>
        </w:rPr>
      </w:pPr>
      <w:r>
        <w:rPr>
          <w:rFonts w:cs="David" w:hint="cs"/>
          <w:noProof/>
          <w:sz w:val="24"/>
          <w:szCs w:val="24"/>
          <w:rtl/>
        </w:rPr>
        <w:t>התובעת סברה כי הנתבעים מבוטחים בביטוח הראל וכך גם הציגה את הדברים בפני חברת המימון. הנתבעים אינם מבוטחים וההוצאות הינם מכיסם הפרטי , בשונה מנתבעים בעלי "כיסים עמוקים" ומאזן הכוחות המצוי בין תובע לנתבע, כאן מדובר בסיטואציה שונה המצריכה התייחסות שונה כאמור.</w:t>
      </w:r>
    </w:p>
    <w:p w14:paraId="78089A31" w14:textId="77777777" w:rsidR="000A4F8D" w:rsidRPr="000A4F8D" w:rsidRDefault="000A4F8D" w:rsidP="000A4F8D">
      <w:pPr>
        <w:pStyle w:val="af1"/>
        <w:spacing w:line="360" w:lineRule="auto"/>
        <w:ind w:left="-199"/>
        <w:jc w:val="both"/>
        <w:rPr>
          <w:rFonts w:cs="David"/>
          <w:sz w:val="12"/>
          <w:szCs w:val="12"/>
          <w:lang w:eastAsia="he-IL"/>
        </w:rPr>
      </w:pPr>
    </w:p>
    <w:p w14:paraId="739529E3" w14:textId="77777777" w:rsidR="000A4F8D" w:rsidRPr="00773A31" w:rsidRDefault="000A4F8D" w:rsidP="000A4F8D">
      <w:pPr>
        <w:pStyle w:val="af1"/>
        <w:spacing w:line="360" w:lineRule="auto"/>
        <w:ind w:left="-199"/>
        <w:jc w:val="both"/>
        <w:rPr>
          <w:rFonts w:cs="David"/>
          <w:sz w:val="12"/>
          <w:szCs w:val="12"/>
          <w:rtl/>
          <w:lang w:eastAsia="he-IL"/>
        </w:rPr>
      </w:pPr>
    </w:p>
    <w:p w14:paraId="3C74CDF2" w14:textId="2C5E9BF3" w:rsidR="000A4F8D" w:rsidRPr="00746ED4" w:rsidRDefault="000A4F8D" w:rsidP="000A4F8D">
      <w:pPr>
        <w:pStyle w:val="af1"/>
        <w:numPr>
          <w:ilvl w:val="0"/>
          <w:numId w:val="1"/>
        </w:numPr>
        <w:spacing w:line="360" w:lineRule="auto"/>
        <w:ind w:left="-199" w:hanging="423"/>
        <w:rPr>
          <w:sz w:val="24"/>
          <w:lang w:eastAsia="he-IL"/>
        </w:rPr>
      </w:pPr>
      <w:r>
        <w:rPr>
          <w:rFonts w:cs="David" w:hint="cs"/>
          <w:noProof/>
          <w:sz w:val="24"/>
          <w:szCs w:val="24"/>
          <w:rtl/>
        </w:rPr>
        <w:t>לצורך תמיכה בטענותיה</w:t>
      </w:r>
      <w:r w:rsidR="00746ED4">
        <w:rPr>
          <w:rFonts w:cs="David" w:hint="cs"/>
          <w:noProof/>
          <w:sz w:val="24"/>
          <w:szCs w:val="24"/>
          <w:rtl/>
        </w:rPr>
        <w:t>ם</w:t>
      </w:r>
      <w:r>
        <w:rPr>
          <w:rFonts w:cs="David" w:hint="cs"/>
          <w:noProof/>
          <w:sz w:val="24"/>
          <w:szCs w:val="24"/>
          <w:rtl/>
        </w:rPr>
        <w:t xml:space="preserve">, בכוונת </w:t>
      </w:r>
      <w:r w:rsidR="00746ED4">
        <w:rPr>
          <w:rFonts w:cs="David" w:hint="cs"/>
          <w:noProof/>
          <w:sz w:val="24"/>
          <w:szCs w:val="24"/>
          <w:rtl/>
        </w:rPr>
        <w:t>הנתבעים</w:t>
      </w:r>
      <w:r>
        <w:rPr>
          <w:rFonts w:cs="David" w:hint="cs"/>
          <w:noProof/>
          <w:sz w:val="24"/>
          <w:szCs w:val="24"/>
          <w:rtl/>
        </w:rPr>
        <w:t xml:space="preserve"> להגיש תצהיר חוקר</w:t>
      </w:r>
      <w:r w:rsidR="00746ED4">
        <w:rPr>
          <w:rFonts w:cs="David" w:hint="cs"/>
          <w:noProof/>
          <w:sz w:val="24"/>
          <w:szCs w:val="24"/>
          <w:rtl/>
        </w:rPr>
        <w:t>/ת</w:t>
      </w:r>
      <w:r>
        <w:rPr>
          <w:rFonts w:cs="David" w:hint="cs"/>
          <w:noProof/>
          <w:sz w:val="24"/>
          <w:szCs w:val="24"/>
          <w:rtl/>
        </w:rPr>
        <w:t xml:space="preserve">.   </w:t>
      </w:r>
    </w:p>
    <w:p w14:paraId="1CFFB784" w14:textId="6DEB47FB" w:rsidR="00746ED4" w:rsidRPr="00773A31" w:rsidRDefault="00746ED4" w:rsidP="000A4F8D">
      <w:pPr>
        <w:pStyle w:val="af1"/>
        <w:numPr>
          <w:ilvl w:val="0"/>
          <w:numId w:val="1"/>
        </w:numPr>
        <w:spacing w:line="360" w:lineRule="auto"/>
        <w:ind w:left="-199" w:hanging="423"/>
        <w:rPr>
          <w:sz w:val="24"/>
          <w:lang w:eastAsia="he-IL"/>
        </w:rPr>
      </w:pPr>
      <w:r>
        <w:rPr>
          <w:rFonts w:cs="David" w:hint="cs"/>
          <w:noProof/>
          <w:sz w:val="24"/>
          <w:szCs w:val="24"/>
          <w:rtl/>
        </w:rPr>
        <w:t>הנתבעים יטענו כי בהתאם להלכה, גילוי של המסמכים בטרם תיחקר התובעת על עדותה לא זו בלבד שלא יסייע לבירור האמת, אלא להיפך, יאפשר לתובעת לעשות "מקצה שיפורים" ולהתאים התאמות באופן שתשובותיה יתיישבו עם גירסתה באופן שחוטא למציאות ולאמת.</w:t>
      </w:r>
    </w:p>
    <w:p w14:paraId="680D86B7" w14:textId="77777777" w:rsidR="000A4F8D" w:rsidRPr="009225C8" w:rsidRDefault="000A4F8D" w:rsidP="000A4F8D">
      <w:pPr>
        <w:pStyle w:val="af1"/>
        <w:spacing w:line="360" w:lineRule="auto"/>
        <w:ind w:left="-199"/>
        <w:jc w:val="both"/>
        <w:rPr>
          <w:rFonts w:cs="David"/>
          <w:sz w:val="12"/>
          <w:szCs w:val="12"/>
          <w:rtl/>
          <w:lang w:eastAsia="he-IL"/>
        </w:rPr>
      </w:pPr>
    </w:p>
    <w:p w14:paraId="5140004C" w14:textId="77777777" w:rsidR="000A4F8D" w:rsidRPr="00773A31" w:rsidRDefault="000A4F8D" w:rsidP="000A4F8D">
      <w:pPr>
        <w:pStyle w:val="af1"/>
        <w:spacing w:line="360" w:lineRule="auto"/>
        <w:ind w:left="-199"/>
        <w:jc w:val="both"/>
        <w:rPr>
          <w:rFonts w:cs="David"/>
          <w:sz w:val="12"/>
          <w:szCs w:val="12"/>
          <w:rtl/>
          <w:lang w:eastAsia="he-IL"/>
        </w:rPr>
      </w:pPr>
    </w:p>
    <w:p w14:paraId="1F5853B4" w14:textId="77777777" w:rsidR="000A4F8D" w:rsidRDefault="000A4F8D" w:rsidP="000A4F8D">
      <w:pPr>
        <w:pStyle w:val="af1"/>
        <w:numPr>
          <w:ilvl w:val="0"/>
          <w:numId w:val="1"/>
        </w:numPr>
        <w:spacing w:line="360" w:lineRule="auto"/>
        <w:ind w:left="-199" w:hanging="423"/>
        <w:jc w:val="both"/>
        <w:rPr>
          <w:rFonts w:cs="David"/>
          <w:sz w:val="24"/>
          <w:szCs w:val="24"/>
          <w:lang w:eastAsia="he-IL"/>
        </w:rPr>
      </w:pPr>
      <w:proofErr w:type="spellStart"/>
      <w:r w:rsidRPr="009E7F17">
        <w:rPr>
          <w:rFonts w:cs="David" w:hint="cs"/>
          <w:sz w:val="24"/>
          <w:szCs w:val="24"/>
          <w:rtl/>
          <w:lang w:eastAsia="he-IL"/>
        </w:rPr>
        <w:t>ברע"א</w:t>
      </w:r>
      <w:proofErr w:type="spellEnd"/>
      <w:r w:rsidRPr="009E7F17">
        <w:rPr>
          <w:rFonts w:cs="David" w:hint="cs"/>
          <w:sz w:val="24"/>
          <w:szCs w:val="24"/>
          <w:rtl/>
          <w:lang w:eastAsia="he-IL"/>
        </w:rPr>
        <w:t xml:space="preserve"> 4249/98 </w:t>
      </w:r>
      <w:r w:rsidRPr="00374CDD">
        <w:rPr>
          <w:rFonts w:cs="David" w:hint="cs"/>
          <w:b/>
          <w:bCs/>
          <w:sz w:val="24"/>
          <w:szCs w:val="24"/>
          <w:rtl/>
          <w:lang w:eastAsia="he-IL"/>
        </w:rPr>
        <w:t xml:space="preserve">שמעון </w:t>
      </w:r>
      <w:proofErr w:type="spellStart"/>
      <w:r w:rsidRPr="00374CDD">
        <w:rPr>
          <w:rFonts w:cs="David" w:hint="cs"/>
          <w:b/>
          <w:bCs/>
          <w:sz w:val="24"/>
          <w:szCs w:val="24"/>
          <w:rtl/>
          <w:lang w:eastAsia="he-IL"/>
        </w:rPr>
        <w:t>סויסה</w:t>
      </w:r>
      <w:proofErr w:type="spellEnd"/>
      <w:r w:rsidRPr="00374CDD">
        <w:rPr>
          <w:rFonts w:cs="David" w:hint="cs"/>
          <w:b/>
          <w:bCs/>
          <w:sz w:val="24"/>
          <w:szCs w:val="24"/>
          <w:rtl/>
          <w:lang w:eastAsia="he-IL"/>
        </w:rPr>
        <w:t xml:space="preserve"> נ' הכשרת היישוב חברה לביטוח בע"מ</w:t>
      </w:r>
      <w:r w:rsidRPr="009E7F17">
        <w:rPr>
          <w:rFonts w:cs="David" w:hint="cs"/>
          <w:sz w:val="24"/>
          <w:szCs w:val="24"/>
          <w:rtl/>
          <w:lang w:eastAsia="he-IL"/>
        </w:rPr>
        <w:t xml:space="preserve">, פ"ד </w:t>
      </w:r>
      <w:proofErr w:type="spellStart"/>
      <w:r w:rsidRPr="009E7F17">
        <w:rPr>
          <w:rFonts w:cs="David" w:hint="cs"/>
          <w:sz w:val="24"/>
          <w:szCs w:val="24"/>
          <w:rtl/>
          <w:lang w:eastAsia="he-IL"/>
        </w:rPr>
        <w:t>נה</w:t>
      </w:r>
      <w:proofErr w:type="spellEnd"/>
      <w:r w:rsidRPr="009E7F17">
        <w:rPr>
          <w:rFonts w:cs="David" w:hint="cs"/>
          <w:sz w:val="24"/>
          <w:szCs w:val="24"/>
          <w:rtl/>
          <w:lang w:eastAsia="he-IL"/>
        </w:rPr>
        <w:t xml:space="preserve">(1), 515, </w:t>
      </w:r>
      <w:r w:rsidRPr="009E7F17">
        <w:rPr>
          <w:rFonts w:cs="David" w:hint="cs"/>
          <w:noProof/>
          <w:sz w:val="24"/>
          <w:szCs w:val="24"/>
          <w:rtl/>
        </w:rPr>
        <w:t>מסכם כבוד המשנה לנשיא, השופט לוין את ההלכה בעניין הגשת מסמכים חסויים:</w:t>
      </w:r>
    </w:p>
    <w:p w14:paraId="1A8FF00B" w14:textId="77777777" w:rsidR="000A4F8D" w:rsidRDefault="000A4F8D" w:rsidP="000A4F8D">
      <w:pPr>
        <w:pStyle w:val="af1"/>
        <w:spacing w:line="360" w:lineRule="auto"/>
        <w:ind w:left="368" w:right="1134"/>
        <w:jc w:val="both"/>
        <w:rPr>
          <w:rFonts w:cs="David"/>
          <w:sz w:val="24"/>
          <w:szCs w:val="24"/>
          <w:rtl/>
          <w:lang w:eastAsia="he-IL"/>
        </w:rPr>
      </w:pPr>
    </w:p>
    <w:p w14:paraId="403A5311" w14:textId="160CD645" w:rsidR="000A4F8D" w:rsidRPr="009E7F17" w:rsidRDefault="000A4F8D" w:rsidP="00174021">
      <w:pPr>
        <w:pStyle w:val="af1"/>
        <w:spacing w:line="360" w:lineRule="auto"/>
        <w:ind w:left="368" w:right="1134"/>
        <w:jc w:val="both"/>
        <w:rPr>
          <w:rFonts w:cs="David"/>
          <w:sz w:val="24"/>
          <w:szCs w:val="24"/>
          <w:rtl/>
          <w:lang w:eastAsia="he-IL"/>
        </w:rPr>
      </w:pPr>
      <w:r w:rsidRPr="009E7F17">
        <w:rPr>
          <w:rFonts w:cs="David" w:hint="cs"/>
          <w:sz w:val="24"/>
          <w:szCs w:val="24"/>
          <w:rtl/>
          <w:lang w:eastAsia="he-IL"/>
        </w:rPr>
        <w:t>"</w:t>
      </w:r>
      <w:r w:rsidR="00174021">
        <w:rPr>
          <w:rFonts w:cs="David" w:hint="cs"/>
          <w:sz w:val="24"/>
          <w:szCs w:val="24"/>
          <w:rtl/>
          <w:lang w:eastAsia="he-IL"/>
        </w:rPr>
        <w:t>...</w:t>
      </w:r>
      <w:r w:rsidRPr="009E7F17">
        <w:rPr>
          <w:rFonts w:cs="David" w:hint="cs"/>
          <w:sz w:val="24"/>
          <w:szCs w:val="24"/>
          <w:rtl/>
          <w:lang w:eastAsia="he-IL"/>
        </w:rPr>
        <w:t xml:space="preserve">(ב) </w:t>
      </w:r>
      <w:r w:rsidRPr="009E7F17">
        <w:rPr>
          <w:rFonts w:cs="David" w:hint="cs"/>
          <w:b/>
          <w:bCs/>
          <w:sz w:val="24"/>
          <w:szCs w:val="24"/>
          <w:rtl/>
          <w:lang w:eastAsia="he-IL"/>
        </w:rPr>
        <w:t>רשאי בית המשפט לסטות מן הכלל האמור אם הוא סבור שעיון במסמכים בשלב מוקדם עשוי להביא את התובע לשיבוש ראיותיו ולא יסייע לחשיפת האמת..."</w:t>
      </w:r>
      <w:r w:rsidRPr="009E7F17">
        <w:rPr>
          <w:rFonts w:cs="David" w:hint="cs"/>
          <w:sz w:val="24"/>
          <w:szCs w:val="24"/>
          <w:rtl/>
          <w:lang w:eastAsia="he-IL"/>
        </w:rPr>
        <w:t xml:space="preserve"> (ההדגשה אינה במקור </w:t>
      </w:r>
      <w:r w:rsidRPr="009E7F17">
        <w:rPr>
          <w:rFonts w:cs="David"/>
          <w:sz w:val="24"/>
          <w:szCs w:val="24"/>
          <w:rtl/>
          <w:lang w:eastAsia="he-IL"/>
        </w:rPr>
        <w:t>–</w:t>
      </w:r>
      <w:r w:rsidRPr="009E7F17">
        <w:rPr>
          <w:rFonts w:cs="David" w:hint="cs"/>
          <w:sz w:val="24"/>
          <w:szCs w:val="24"/>
          <w:rtl/>
          <w:lang w:eastAsia="he-IL"/>
        </w:rPr>
        <w:t xml:space="preserve"> </w:t>
      </w:r>
      <w:r w:rsidR="00CD1E96">
        <w:rPr>
          <w:rFonts w:cs="David" w:hint="cs"/>
          <w:sz w:val="24"/>
          <w:szCs w:val="24"/>
          <w:rtl/>
          <w:lang w:eastAsia="he-IL"/>
        </w:rPr>
        <w:t>הח"מ</w:t>
      </w:r>
      <w:r w:rsidRPr="009E7F17">
        <w:rPr>
          <w:rFonts w:cs="David" w:hint="cs"/>
          <w:sz w:val="24"/>
          <w:szCs w:val="24"/>
          <w:rtl/>
          <w:lang w:eastAsia="he-IL"/>
        </w:rPr>
        <w:t>.)</w:t>
      </w:r>
    </w:p>
    <w:p w14:paraId="18919B2E" w14:textId="77777777" w:rsidR="000A4F8D" w:rsidRPr="00773A31" w:rsidRDefault="000A4F8D" w:rsidP="000A4F8D">
      <w:pPr>
        <w:pStyle w:val="af1"/>
        <w:spacing w:line="360" w:lineRule="auto"/>
        <w:ind w:left="-199"/>
        <w:jc w:val="both"/>
        <w:rPr>
          <w:rFonts w:cs="David"/>
          <w:sz w:val="12"/>
          <w:szCs w:val="12"/>
          <w:rtl/>
        </w:rPr>
      </w:pPr>
    </w:p>
    <w:p w14:paraId="24FAEBAF" w14:textId="220E3024" w:rsidR="000A4F8D" w:rsidRDefault="000A4F8D" w:rsidP="000A4F8D">
      <w:pPr>
        <w:pStyle w:val="af1"/>
        <w:numPr>
          <w:ilvl w:val="0"/>
          <w:numId w:val="1"/>
        </w:numPr>
        <w:spacing w:line="360" w:lineRule="auto"/>
        <w:ind w:left="-199" w:hanging="423"/>
        <w:jc w:val="both"/>
        <w:rPr>
          <w:rFonts w:cs="David"/>
          <w:noProof/>
          <w:sz w:val="24"/>
          <w:szCs w:val="24"/>
        </w:rPr>
      </w:pPr>
      <w:r w:rsidRPr="00043F56">
        <w:rPr>
          <w:rFonts w:cs="David" w:hint="cs"/>
          <w:sz w:val="24"/>
          <w:szCs w:val="24"/>
          <w:rtl/>
          <w:lang w:eastAsia="he-IL"/>
        </w:rPr>
        <w:t xml:space="preserve">דבריו של כבוד המשנה לנשיא השופט לוין, יפים אף לענייננו. במקרה בו עסקינן, אם </w:t>
      </w:r>
      <w:r>
        <w:rPr>
          <w:rFonts w:cs="David" w:hint="cs"/>
          <w:sz w:val="24"/>
          <w:szCs w:val="24"/>
          <w:rtl/>
          <w:lang w:eastAsia="he-IL"/>
        </w:rPr>
        <w:t xml:space="preserve">עדות </w:t>
      </w:r>
      <w:r w:rsidRPr="00043F56">
        <w:rPr>
          <w:rFonts w:cs="David" w:hint="cs"/>
          <w:sz w:val="24"/>
          <w:szCs w:val="24"/>
          <w:rtl/>
          <w:lang w:eastAsia="he-IL"/>
        </w:rPr>
        <w:t xml:space="preserve">החוקר </w:t>
      </w:r>
      <w:r>
        <w:rPr>
          <w:rFonts w:cs="David" w:hint="cs"/>
          <w:sz w:val="24"/>
          <w:szCs w:val="24"/>
          <w:rtl/>
          <w:lang w:eastAsia="he-IL"/>
        </w:rPr>
        <w:t>תוגש עובר ל</w:t>
      </w:r>
      <w:r w:rsidRPr="00043F56">
        <w:rPr>
          <w:rFonts w:cs="David" w:hint="cs"/>
          <w:sz w:val="24"/>
          <w:szCs w:val="24"/>
          <w:rtl/>
          <w:lang w:eastAsia="he-IL"/>
        </w:rPr>
        <w:t xml:space="preserve">חקירת </w:t>
      </w:r>
      <w:r>
        <w:rPr>
          <w:rFonts w:cs="David" w:hint="cs"/>
          <w:sz w:val="24"/>
          <w:szCs w:val="24"/>
          <w:rtl/>
          <w:lang w:eastAsia="he-IL"/>
        </w:rPr>
        <w:t>התובע ו/או עדיו</w:t>
      </w:r>
      <w:r w:rsidRPr="00043F56">
        <w:rPr>
          <w:rFonts w:cs="David" w:hint="cs"/>
          <w:sz w:val="24"/>
          <w:szCs w:val="24"/>
          <w:rtl/>
          <w:lang w:eastAsia="he-IL"/>
        </w:rPr>
        <w:t xml:space="preserve">, תסוכל מטרת החקירה והדבר יעניק יתרון בלתי הוגן </w:t>
      </w:r>
      <w:r>
        <w:rPr>
          <w:rFonts w:cs="David" w:hint="cs"/>
          <w:sz w:val="24"/>
          <w:szCs w:val="24"/>
          <w:rtl/>
          <w:lang w:eastAsia="he-IL"/>
        </w:rPr>
        <w:t>לתובע ולעדיו</w:t>
      </w:r>
      <w:r w:rsidRPr="00043F56">
        <w:rPr>
          <w:rFonts w:cs="David" w:hint="cs"/>
          <w:sz w:val="24"/>
          <w:szCs w:val="24"/>
          <w:rtl/>
          <w:lang w:eastAsia="he-IL"/>
        </w:rPr>
        <w:t>, שכן הנ"ל יוכלו להכין עצמם לקראת חקירתם בבית המשפט, ובכך עדות</w:t>
      </w:r>
      <w:r>
        <w:rPr>
          <w:rFonts w:cs="David" w:hint="cs"/>
          <w:sz w:val="24"/>
          <w:szCs w:val="24"/>
          <w:rtl/>
          <w:lang w:eastAsia="he-IL"/>
        </w:rPr>
        <w:t>ו</w:t>
      </w:r>
      <w:r w:rsidRPr="00043F56">
        <w:rPr>
          <w:rFonts w:cs="David" w:hint="cs"/>
          <w:sz w:val="24"/>
          <w:szCs w:val="24"/>
          <w:rtl/>
          <w:lang w:eastAsia="he-IL"/>
        </w:rPr>
        <w:t xml:space="preserve"> של החוקר </w:t>
      </w:r>
      <w:r>
        <w:rPr>
          <w:rFonts w:cs="David" w:hint="cs"/>
          <w:sz w:val="24"/>
          <w:szCs w:val="24"/>
          <w:rtl/>
          <w:lang w:eastAsia="he-IL"/>
        </w:rPr>
        <w:t>ת</w:t>
      </w:r>
      <w:r w:rsidRPr="00043F56">
        <w:rPr>
          <w:rFonts w:cs="David" w:hint="cs"/>
          <w:sz w:val="24"/>
          <w:szCs w:val="24"/>
          <w:rtl/>
          <w:lang w:eastAsia="he-IL"/>
        </w:rPr>
        <w:t>אבד ממטרת</w:t>
      </w:r>
      <w:r>
        <w:rPr>
          <w:rFonts w:cs="David" w:hint="cs"/>
          <w:sz w:val="24"/>
          <w:szCs w:val="24"/>
          <w:rtl/>
          <w:lang w:eastAsia="he-IL"/>
        </w:rPr>
        <w:t>ה</w:t>
      </w:r>
      <w:r w:rsidRPr="00043F56">
        <w:rPr>
          <w:rFonts w:cs="David" w:hint="cs"/>
          <w:sz w:val="24"/>
          <w:szCs w:val="24"/>
          <w:rtl/>
          <w:lang w:eastAsia="he-IL"/>
        </w:rPr>
        <w:t xml:space="preserve"> העיקרית – הפרכת גרסתם </w:t>
      </w:r>
      <w:r>
        <w:rPr>
          <w:rFonts w:cs="David" w:hint="cs"/>
          <w:sz w:val="24"/>
          <w:szCs w:val="24"/>
          <w:rtl/>
          <w:lang w:eastAsia="he-IL"/>
        </w:rPr>
        <w:t xml:space="preserve">התובע ועדיו. </w:t>
      </w:r>
    </w:p>
    <w:p w14:paraId="49306659" w14:textId="77777777" w:rsidR="000A4F8D" w:rsidRPr="00773A31" w:rsidRDefault="000A4F8D" w:rsidP="000A4F8D">
      <w:pPr>
        <w:pStyle w:val="af1"/>
        <w:spacing w:line="360" w:lineRule="auto"/>
        <w:ind w:left="-199"/>
        <w:jc w:val="both"/>
        <w:rPr>
          <w:rFonts w:cs="David"/>
          <w:sz w:val="12"/>
          <w:szCs w:val="12"/>
        </w:rPr>
      </w:pPr>
    </w:p>
    <w:p w14:paraId="26240BB5" w14:textId="2D4C216C" w:rsidR="000A4F8D" w:rsidRDefault="000A4F8D" w:rsidP="000A4F8D">
      <w:pPr>
        <w:pStyle w:val="af1"/>
        <w:numPr>
          <w:ilvl w:val="0"/>
          <w:numId w:val="1"/>
        </w:numPr>
        <w:spacing w:line="360" w:lineRule="auto"/>
        <w:ind w:left="-199" w:hanging="423"/>
        <w:jc w:val="both"/>
        <w:rPr>
          <w:rFonts w:cs="David"/>
          <w:sz w:val="12"/>
          <w:szCs w:val="12"/>
        </w:rPr>
      </w:pPr>
      <w:r w:rsidRPr="00CB150C">
        <w:rPr>
          <w:rFonts w:cs="David" w:hint="cs"/>
          <w:sz w:val="24"/>
          <w:szCs w:val="24"/>
          <w:rtl/>
          <w:lang w:eastAsia="he-IL"/>
        </w:rPr>
        <w:t>חשיפת התצהיר (</w:t>
      </w:r>
      <w:r w:rsidRPr="00CB150C">
        <w:rPr>
          <w:rFonts w:cs="David" w:hint="cs"/>
          <w:sz w:val="24"/>
          <w:szCs w:val="24"/>
          <w:lang w:eastAsia="he-IL"/>
        </w:rPr>
        <w:t xml:space="preserve"> </w:t>
      </w:r>
      <w:r w:rsidRPr="00CB150C">
        <w:rPr>
          <w:rFonts w:cs="David" w:hint="cs"/>
          <w:sz w:val="24"/>
          <w:szCs w:val="24"/>
          <w:rtl/>
          <w:lang w:eastAsia="he-IL"/>
        </w:rPr>
        <w:t xml:space="preserve">לרבות החומרים הגולמיים ) בשלב זה עלולה </w:t>
      </w:r>
      <w:r w:rsidR="00174021">
        <w:rPr>
          <w:rFonts w:cs="David" w:hint="cs"/>
          <w:sz w:val="24"/>
          <w:szCs w:val="24"/>
          <w:rtl/>
          <w:lang w:eastAsia="he-IL"/>
        </w:rPr>
        <w:t>לחבל</w:t>
      </w:r>
      <w:r w:rsidRPr="00CB150C">
        <w:rPr>
          <w:rFonts w:cs="David" w:hint="cs"/>
          <w:sz w:val="24"/>
          <w:szCs w:val="24"/>
          <w:rtl/>
          <w:lang w:eastAsia="he-IL"/>
        </w:rPr>
        <w:t xml:space="preserve"> </w:t>
      </w:r>
      <w:r w:rsidR="00174021">
        <w:rPr>
          <w:rFonts w:cs="David" w:hint="cs"/>
          <w:sz w:val="24"/>
          <w:szCs w:val="24"/>
          <w:rtl/>
          <w:lang w:eastAsia="he-IL"/>
        </w:rPr>
        <w:t xml:space="preserve">באפשרותם של </w:t>
      </w:r>
      <w:r w:rsidRPr="00CB150C">
        <w:rPr>
          <w:rFonts w:cs="David" w:hint="cs"/>
          <w:sz w:val="24"/>
          <w:szCs w:val="24"/>
          <w:rtl/>
          <w:lang w:eastAsia="he-IL"/>
        </w:rPr>
        <w:t>הנתבע</w:t>
      </w:r>
      <w:r w:rsidR="00746ED4" w:rsidRPr="00CB150C">
        <w:rPr>
          <w:rFonts w:cs="David" w:hint="cs"/>
          <w:sz w:val="24"/>
          <w:szCs w:val="24"/>
          <w:rtl/>
          <w:lang w:eastAsia="he-IL"/>
        </w:rPr>
        <w:t>ים</w:t>
      </w:r>
      <w:r w:rsidRPr="00CB150C">
        <w:rPr>
          <w:rFonts w:cs="David" w:hint="cs"/>
          <w:sz w:val="24"/>
          <w:szCs w:val="24"/>
          <w:rtl/>
          <w:lang w:eastAsia="he-IL"/>
        </w:rPr>
        <w:t xml:space="preserve"> </w:t>
      </w:r>
      <w:r w:rsidR="00396999">
        <w:rPr>
          <w:rFonts w:cs="David" w:hint="cs"/>
          <w:sz w:val="24"/>
          <w:szCs w:val="24"/>
          <w:rtl/>
          <w:lang w:eastAsia="he-IL"/>
        </w:rPr>
        <w:t xml:space="preserve">לחשוף את </w:t>
      </w:r>
      <w:r w:rsidRPr="00CB150C">
        <w:rPr>
          <w:rFonts w:cs="David" w:hint="cs"/>
          <w:sz w:val="24"/>
          <w:szCs w:val="24"/>
          <w:rtl/>
          <w:lang w:eastAsia="he-IL"/>
        </w:rPr>
        <w:t xml:space="preserve"> האמת </w:t>
      </w:r>
      <w:r w:rsidR="00396999">
        <w:rPr>
          <w:rFonts w:cs="David" w:hint="cs"/>
          <w:sz w:val="24"/>
          <w:szCs w:val="24"/>
          <w:rtl/>
          <w:lang w:eastAsia="he-IL"/>
        </w:rPr>
        <w:t xml:space="preserve">במסגרת חקירתה הנגדית של התובעת. </w:t>
      </w:r>
      <w:r w:rsidRPr="00CB150C">
        <w:rPr>
          <w:rFonts w:cs="David" w:hint="cs"/>
          <w:sz w:val="24"/>
          <w:szCs w:val="24"/>
          <w:rtl/>
          <w:lang w:eastAsia="he-IL"/>
        </w:rPr>
        <w:t>טענה זו מקבלת משנה תוקף היות ומדובר בתביעה לפיצויים בגין</w:t>
      </w:r>
      <w:r w:rsidR="00CB150C" w:rsidRPr="00CB150C">
        <w:rPr>
          <w:rFonts w:cs="David" w:hint="cs"/>
          <w:sz w:val="24"/>
          <w:szCs w:val="24"/>
          <w:rtl/>
          <w:lang w:eastAsia="he-IL"/>
        </w:rPr>
        <w:t xml:space="preserve"> טיפול רפואי שגרם לטענת התובעת</w:t>
      </w:r>
      <w:r w:rsidRPr="00CB150C">
        <w:rPr>
          <w:rFonts w:cs="David" w:hint="cs"/>
          <w:sz w:val="24"/>
          <w:szCs w:val="24"/>
          <w:rtl/>
          <w:lang w:eastAsia="he-IL"/>
        </w:rPr>
        <w:t xml:space="preserve"> נזקי גוף</w:t>
      </w:r>
      <w:r w:rsidR="00CB150C" w:rsidRPr="00CB150C">
        <w:rPr>
          <w:rFonts w:cs="David" w:hint="cs"/>
          <w:sz w:val="24"/>
          <w:szCs w:val="24"/>
          <w:rtl/>
          <w:lang w:eastAsia="he-IL"/>
        </w:rPr>
        <w:t xml:space="preserve"> משמעותיים</w:t>
      </w:r>
      <w:r w:rsidRPr="00CB150C">
        <w:rPr>
          <w:rFonts w:cs="David" w:hint="cs"/>
          <w:sz w:val="24"/>
          <w:szCs w:val="24"/>
          <w:rtl/>
          <w:lang w:eastAsia="he-IL"/>
        </w:rPr>
        <w:t xml:space="preserve">, כאשר דו"ח החקירה, בשלב זה, הינו </w:t>
      </w:r>
      <w:r w:rsidR="00CB150C" w:rsidRPr="00CB150C">
        <w:rPr>
          <w:rFonts w:cs="David" w:hint="cs"/>
          <w:sz w:val="24"/>
          <w:szCs w:val="24"/>
          <w:rtl/>
          <w:lang w:eastAsia="he-IL"/>
        </w:rPr>
        <w:t>אחד הכלים</w:t>
      </w:r>
      <w:r w:rsidRPr="00CB150C">
        <w:rPr>
          <w:rFonts w:cs="David" w:hint="cs"/>
          <w:sz w:val="24"/>
          <w:szCs w:val="24"/>
          <w:rtl/>
          <w:lang w:eastAsia="he-IL"/>
        </w:rPr>
        <w:t xml:space="preserve"> היחידי</w:t>
      </w:r>
      <w:r w:rsidR="00CB150C" w:rsidRPr="00CB150C">
        <w:rPr>
          <w:rFonts w:cs="David" w:hint="cs"/>
          <w:sz w:val="24"/>
          <w:szCs w:val="24"/>
          <w:rtl/>
          <w:lang w:eastAsia="he-IL"/>
        </w:rPr>
        <w:t>ם</w:t>
      </w:r>
      <w:r w:rsidRPr="00CB150C">
        <w:rPr>
          <w:rFonts w:cs="David" w:hint="cs"/>
          <w:sz w:val="24"/>
          <w:szCs w:val="24"/>
          <w:rtl/>
          <w:lang w:eastAsia="he-IL"/>
        </w:rPr>
        <w:t xml:space="preserve"> להפרכת טענות התובע</w:t>
      </w:r>
      <w:r w:rsidR="00CB150C" w:rsidRPr="00CB150C">
        <w:rPr>
          <w:rFonts w:cs="David" w:hint="cs"/>
          <w:sz w:val="24"/>
          <w:szCs w:val="24"/>
          <w:rtl/>
          <w:lang w:eastAsia="he-IL"/>
        </w:rPr>
        <w:t>ת</w:t>
      </w:r>
      <w:r w:rsidRPr="00CB150C">
        <w:rPr>
          <w:rFonts w:cs="David" w:hint="cs"/>
          <w:sz w:val="24"/>
          <w:szCs w:val="24"/>
          <w:rtl/>
          <w:lang w:eastAsia="he-IL"/>
        </w:rPr>
        <w:t xml:space="preserve"> ו/או עדי</w:t>
      </w:r>
      <w:r w:rsidR="00CB150C" w:rsidRPr="00CB150C">
        <w:rPr>
          <w:rFonts w:cs="David" w:hint="cs"/>
          <w:sz w:val="24"/>
          <w:szCs w:val="24"/>
          <w:rtl/>
          <w:lang w:eastAsia="he-IL"/>
        </w:rPr>
        <w:t>ה</w:t>
      </w:r>
      <w:r w:rsidR="00CB150C">
        <w:rPr>
          <w:rFonts w:cs="David" w:hint="cs"/>
          <w:sz w:val="24"/>
          <w:szCs w:val="24"/>
          <w:rtl/>
          <w:lang w:eastAsia="he-IL"/>
        </w:rPr>
        <w:t>.</w:t>
      </w:r>
    </w:p>
    <w:p w14:paraId="599BF543" w14:textId="1E1DA603" w:rsidR="00DF4A21" w:rsidRPr="00CB150C" w:rsidRDefault="00DF4A21" w:rsidP="00DF4A21">
      <w:pPr>
        <w:pStyle w:val="af1"/>
        <w:spacing w:line="360" w:lineRule="auto"/>
        <w:jc w:val="both"/>
        <w:rPr>
          <w:rFonts w:cs="David"/>
          <w:sz w:val="12"/>
          <w:szCs w:val="12"/>
          <w:rtl/>
        </w:rPr>
      </w:pPr>
    </w:p>
    <w:p w14:paraId="4FE1D706" w14:textId="77777777" w:rsidR="000A4F8D" w:rsidRPr="009A5949" w:rsidRDefault="000A4F8D" w:rsidP="000A4F8D">
      <w:pPr>
        <w:pStyle w:val="af1"/>
        <w:numPr>
          <w:ilvl w:val="0"/>
          <w:numId w:val="1"/>
        </w:numPr>
        <w:spacing w:line="360" w:lineRule="auto"/>
        <w:ind w:left="-199" w:hanging="423"/>
        <w:jc w:val="both"/>
        <w:rPr>
          <w:rFonts w:cs="David"/>
          <w:noProof/>
          <w:sz w:val="24"/>
          <w:szCs w:val="24"/>
        </w:rPr>
      </w:pPr>
      <w:r w:rsidRPr="009A5949">
        <w:rPr>
          <w:rFonts w:cs="David" w:hint="cs"/>
          <w:sz w:val="24"/>
          <w:szCs w:val="24"/>
          <w:rtl/>
          <w:lang w:eastAsia="he-IL"/>
        </w:rPr>
        <w:t xml:space="preserve">לעניין זה יפים דבריה של כבוד השופט עזרא קמא </w:t>
      </w:r>
      <w:proofErr w:type="spellStart"/>
      <w:r w:rsidRPr="009A5949">
        <w:rPr>
          <w:rFonts w:cs="David" w:hint="cs"/>
          <w:sz w:val="24"/>
          <w:szCs w:val="24"/>
          <w:rtl/>
          <w:lang w:eastAsia="he-IL"/>
        </w:rPr>
        <w:t>בבר"ע</w:t>
      </w:r>
      <w:proofErr w:type="spellEnd"/>
      <w:r w:rsidRPr="009A5949">
        <w:rPr>
          <w:rFonts w:cs="David" w:hint="cs"/>
          <w:sz w:val="24"/>
          <w:szCs w:val="24"/>
          <w:rtl/>
          <w:lang w:eastAsia="he-IL"/>
        </w:rPr>
        <w:t xml:space="preserve"> (ירושלים) 3089/01 </w:t>
      </w:r>
      <w:r w:rsidRPr="00374CDD">
        <w:rPr>
          <w:rFonts w:cs="David" w:hint="cs"/>
          <w:b/>
          <w:bCs/>
          <w:sz w:val="24"/>
          <w:szCs w:val="24"/>
          <w:rtl/>
          <w:lang w:eastAsia="he-IL"/>
        </w:rPr>
        <w:t>מיכאל דהן נ' הדר חברה לביטוח</w:t>
      </w:r>
      <w:r w:rsidRPr="009A5949">
        <w:rPr>
          <w:rFonts w:cs="David" w:hint="cs"/>
          <w:sz w:val="24"/>
          <w:szCs w:val="24"/>
          <w:rtl/>
          <w:lang w:eastAsia="he-IL"/>
        </w:rPr>
        <w:t>, תק-מח 2001(2), 35002 ,עמ' 35003 אשר קבע כדלקמן:</w:t>
      </w:r>
    </w:p>
    <w:p w14:paraId="2602EAD5" w14:textId="77777777" w:rsidR="000A4F8D" w:rsidRPr="000A4F8D" w:rsidRDefault="000A4F8D" w:rsidP="000A4F8D">
      <w:pPr>
        <w:pStyle w:val="af1"/>
        <w:spacing w:line="360" w:lineRule="auto"/>
        <w:ind w:left="-199"/>
        <w:jc w:val="both"/>
        <w:rPr>
          <w:rFonts w:cs="David"/>
          <w:sz w:val="12"/>
          <w:szCs w:val="12"/>
          <w:rtl/>
          <w:lang w:eastAsia="he-IL"/>
        </w:rPr>
      </w:pPr>
    </w:p>
    <w:p w14:paraId="58F7A533" w14:textId="77777777" w:rsidR="000A4F8D" w:rsidRDefault="000A4F8D" w:rsidP="000A4F8D">
      <w:pPr>
        <w:pStyle w:val="af1"/>
        <w:spacing w:line="360" w:lineRule="auto"/>
        <w:ind w:left="368" w:right="1134"/>
        <w:jc w:val="both"/>
        <w:rPr>
          <w:rFonts w:cs="David"/>
          <w:sz w:val="24"/>
          <w:szCs w:val="24"/>
          <w:rtl/>
          <w:lang w:eastAsia="he-IL"/>
        </w:rPr>
      </w:pPr>
      <w:r w:rsidRPr="00043F56">
        <w:rPr>
          <w:rFonts w:cs="David" w:hint="cs"/>
          <w:sz w:val="24"/>
          <w:szCs w:val="24"/>
          <w:rtl/>
          <w:lang w:eastAsia="he-IL"/>
        </w:rPr>
        <w:lastRenderedPageBreak/>
        <w:t xml:space="preserve">"בית-המשפט, בערכאה הדיונית, רשאי לקבוע את השלב שבו יוגשו תצהירי עדות ראשית מטעם הצדדים, ובין היתר רשאי לקבוע כי תצהירי עדות ראשית של הנתבע יוגשו לאחר סיום פרשת התביעה. </w:t>
      </w:r>
    </w:p>
    <w:p w14:paraId="2F897BBB" w14:textId="4860432A" w:rsidR="000A4F8D" w:rsidRDefault="002246D3" w:rsidP="000A4F8D">
      <w:pPr>
        <w:pStyle w:val="af1"/>
        <w:spacing w:line="360" w:lineRule="auto"/>
        <w:ind w:left="368" w:right="1134"/>
        <w:jc w:val="both"/>
        <w:rPr>
          <w:rFonts w:cs="David"/>
          <w:sz w:val="24"/>
          <w:szCs w:val="24"/>
          <w:rtl/>
          <w:lang w:eastAsia="he-IL"/>
        </w:rPr>
      </w:pPr>
      <w:proofErr w:type="spellStart"/>
      <w:r>
        <w:rPr>
          <w:rFonts w:cs="David" w:hint="cs"/>
          <w:sz w:val="24"/>
          <w:szCs w:val="24"/>
          <w:rtl/>
          <w:lang w:eastAsia="he-IL"/>
        </w:rPr>
        <w:t>פ</w:t>
      </w:r>
      <w:r w:rsidR="000A4F8D" w:rsidRPr="00043F56">
        <w:rPr>
          <w:rFonts w:cs="David" w:hint="cs"/>
          <w:sz w:val="24"/>
          <w:szCs w:val="24"/>
          <w:rtl/>
          <w:lang w:eastAsia="he-IL"/>
        </w:rPr>
        <w:t>אין</w:t>
      </w:r>
      <w:proofErr w:type="spellEnd"/>
      <w:r w:rsidR="000A4F8D" w:rsidRPr="00043F56">
        <w:rPr>
          <w:rFonts w:cs="David" w:hint="cs"/>
          <w:sz w:val="24"/>
          <w:szCs w:val="24"/>
          <w:rtl/>
          <w:lang w:eastAsia="he-IL"/>
        </w:rPr>
        <w:t xml:space="preserve"> בכך כדי להקנות יתרון דיוני לצד זה או אחר, ובין היתר לא נועדו תצהירי עדות ראשית להקנות יתרון של ידיעת העובדות הנטענות על-ידי הנתבע - לפני החקירה על התצהיר". </w:t>
      </w:r>
    </w:p>
    <w:p w14:paraId="485C857B" w14:textId="77777777" w:rsidR="000A4F8D" w:rsidRPr="00773A31" w:rsidRDefault="000A4F8D" w:rsidP="000A4F8D">
      <w:pPr>
        <w:pStyle w:val="af1"/>
        <w:spacing w:line="360" w:lineRule="auto"/>
        <w:ind w:left="-199"/>
        <w:jc w:val="both"/>
        <w:rPr>
          <w:rFonts w:cs="David"/>
          <w:sz w:val="12"/>
          <w:szCs w:val="12"/>
          <w:rtl/>
        </w:rPr>
      </w:pPr>
    </w:p>
    <w:p w14:paraId="2079A3A4" w14:textId="2133D030" w:rsidR="000A4F8D" w:rsidRPr="00043F56" w:rsidRDefault="000A4F8D" w:rsidP="000A4F8D">
      <w:pPr>
        <w:pStyle w:val="af1"/>
        <w:numPr>
          <w:ilvl w:val="0"/>
          <w:numId w:val="1"/>
        </w:numPr>
        <w:spacing w:line="360" w:lineRule="auto"/>
        <w:ind w:left="-199" w:hanging="423"/>
        <w:jc w:val="both"/>
        <w:rPr>
          <w:rFonts w:cs="David"/>
          <w:noProof/>
          <w:sz w:val="24"/>
          <w:szCs w:val="24"/>
        </w:rPr>
      </w:pPr>
      <w:r w:rsidRPr="00043F56">
        <w:rPr>
          <w:rFonts w:cs="David" w:hint="cs"/>
          <w:noProof/>
          <w:sz w:val="24"/>
          <w:szCs w:val="24"/>
          <w:rtl/>
        </w:rPr>
        <w:t>הנתבע</w:t>
      </w:r>
      <w:r w:rsidR="00CB150C">
        <w:rPr>
          <w:rFonts w:cs="David" w:hint="cs"/>
          <w:noProof/>
          <w:sz w:val="24"/>
          <w:szCs w:val="24"/>
          <w:rtl/>
        </w:rPr>
        <w:t>ים</w:t>
      </w:r>
      <w:r w:rsidRPr="00043F56">
        <w:rPr>
          <w:rFonts w:cs="David" w:hint="cs"/>
          <w:noProof/>
          <w:sz w:val="24"/>
          <w:szCs w:val="24"/>
          <w:rtl/>
        </w:rPr>
        <w:t xml:space="preserve"> </w:t>
      </w:r>
      <w:r w:rsidR="00CB150C">
        <w:rPr>
          <w:rFonts w:cs="David" w:hint="cs"/>
          <w:noProof/>
          <w:sz w:val="24"/>
          <w:szCs w:val="24"/>
          <w:rtl/>
        </w:rPr>
        <w:t>יטענו</w:t>
      </w:r>
      <w:r w:rsidRPr="00043F56">
        <w:rPr>
          <w:rFonts w:cs="David" w:hint="cs"/>
          <w:noProof/>
          <w:sz w:val="24"/>
          <w:szCs w:val="24"/>
          <w:rtl/>
        </w:rPr>
        <w:t xml:space="preserve">, כי המקרה הנדון הינו מקרה קלאסי להחלת </w:t>
      </w:r>
      <w:r w:rsidR="00396999">
        <w:rPr>
          <w:rFonts w:cs="David" w:hint="cs"/>
          <w:noProof/>
          <w:sz w:val="24"/>
          <w:szCs w:val="24"/>
          <w:rtl/>
        </w:rPr>
        <w:t>האמור ב</w:t>
      </w:r>
      <w:r w:rsidRPr="00043F56">
        <w:rPr>
          <w:rFonts w:cs="David" w:hint="cs"/>
          <w:noProof/>
          <w:sz w:val="24"/>
          <w:szCs w:val="24"/>
          <w:rtl/>
        </w:rPr>
        <w:t>הלכת סויסה</w:t>
      </w:r>
      <w:r w:rsidR="00396999">
        <w:rPr>
          <w:rFonts w:cs="David" w:hint="cs"/>
          <w:noProof/>
          <w:sz w:val="24"/>
          <w:szCs w:val="24"/>
          <w:rtl/>
        </w:rPr>
        <w:t>,</w:t>
      </w:r>
      <w:r w:rsidRPr="00043F56">
        <w:rPr>
          <w:rFonts w:cs="David" w:hint="cs"/>
          <w:noProof/>
          <w:sz w:val="24"/>
          <w:szCs w:val="24"/>
          <w:rtl/>
        </w:rPr>
        <w:t xml:space="preserve"> שכן בענייננו, </w:t>
      </w:r>
      <w:r w:rsidR="00396999">
        <w:rPr>
          <w:rFonts w:cs="David" w:hint="cs"/>
          <w:noProof/>
          <w:sz w:val="24"/>
          <w:szCs w:val="24"/>
          <w:rtl/>
        </w:rPr>
        <w:t>קיימת</w:t>
      </w:r>
      <w:r w:rsidRPr="00043F56">
        <w:rPr>
          <w:rFonts w:cs="David" w:hint="cs"/>
          <w:noProof/>
          <w:sz w:val="24"/>
          <w:szCs w:val="24"/>
          <w:rtl/>
        </w:rPr>
        <w:t xml:space="preserve"> מחלוקת אמיתית</w:t>
      </w:r>
      <w:r w:rsidR="00396999">
        <w:rPr>
          <w:rFonts w:cs="David" w:hint="cs"/>
          <w:noProof/>
          <w:sz w:val="24"/>
          <w:szCs w:val="24"/>
          <w:rtl/>
        </w:rPr>
        <w:t xml:space="preserve"> ונרחבת</w:t>
      </w:r>
      <w:r w:rsidRPr="00043F56">
        <w:rPr>
          <w:rFonts w:cs="David" w:hint="cs"/>
          <w:noProof/>
          <w:sz w:val="24"/>
          <w:szCs w:val="24"/>
          <w:rtl/>
        </w:rPr>
        <w:t xml:space="preserve"> בדבר </w:t>
      </w:r>
      <w:r>
        <w:rPr>
          <w:rFonts w:cs="David" w:hint="cs"/>
          <w:noProof/>
          <w:sz w:val="24"/>
          <w:szCs w:val="24"/>
          <w:rtl/>
        </w:rPr>
        <w:t>החבות</w:t>
      </w:r>
      <w:r w:rsidR="00CB150C">
        <w:rPr>
          <w:rFonts w:cs="David" w:hint="cs"/>
          <w:noProof/>
          <w:sz w:val="24"/>
          <w:szCs w:val="24"/>
          <w:rtl/>
        </w:rPr>
        <w:t xml:space="preserve"> והנזק</w:t>
      </w:r>
      <w:r>
        <w:rPr>
          <w:rFonts w:cs="David" w:hint="cs"/>
          <w:noProof/>
          <w:sz w:val="24"/>
          <w:szCs w:val="24"/>
          <w:rtl/>
        </w:rPr>
        <w:t>, והסוגיה תיבחן על</w:t>
      </w:r>
      <w:r w:rsidR="00396999">
        <w:rPr>
          <w:rFonts w:cs="David" w:hint="cs"/>
          <w:noProof/>
          <w:sz w:val="24"/>
          <w:szCs w:val="24"/>
          <w:rtl/>
        </w:rPr>
        <w:t xml:space="preserve"> </w:t>
      </w:r>
      <w:r>
        <w:rPr>
          <w:rFonts w:cs="David" w:hint="cs"/>
          <w:noProof/>
          <w:sz w:val="24"/>
          <w:szCs w:val="24"/>
          <w:rtl/>
        </w:rPr>
        <w:t>סמך מהימנותם ואמינותם של הצדדים</w:t>
      </w:r>
      <w:r w:rsidR="00396999">
        <w:rPr>
          <w:rFonts w:cs="David" w:hint="cs"/>
          <w:noProof/>
          <w:sz w:val="24"/>
          <w:szCs w:val="24"/>
          <w:rtl/>
        </w:rPr>
        <w:t xml:space="preserve">. בנסיבות מיוחדות וחריגות אלה, יטענו הנתבעים כי </w:t>
      </w:r>
      <w:r>
        <w:rPr>
          <w:rFonts w:cs="David" w:hint="cs"/>
          <w:noProof/>
          <w:sz w:val="24"/>
          <w:szCs w:val="24"/>
          <w:rtl/>
        </w:rPr>
        <w:t>אין מנוס</w:t>
      </w:r>
      <w:r w:rsidR="00CB150C">
        <w:rPr>
          <w:rFonts w:cs="David" w:hint="cs"/>
          <w:noProof/>
          <w:sz w:val="24"/>
          <w:szCs w:val="24"/>
          <w:rtl/>
        </w:rPr>
        <w:t xml:space="preserve"> </w:t>
      </w:r>
      <w:r>
        <w:rPr>
          <w:rFonts w:cs="David" w:hint="cs"/>
          <w:noProof/>
          <w:sz w:val="24"/>
          <w:szCs w:val="24"/>
          <w:rtl/>
        </w:rPr>
        <w:t xml:space="preserve">מעיכוב חשיפת הדוחות, וזאת עד לסיום פרשת התביעה. </w:t>
      </w:r>
    </w:p>
    <w:p w14:paraId="758789E4" w14:textId="77777777" w:rsidR="000A4F8D" w:rsidRPr="000A4F8D" w:rsidRDefault="000A4F8D" w:rsidP="000A4F8D">
      <w:pPr>
        <w:pStyle w:val="af1"/>
        <w:spacing w:line="360" w:lineRule="auto"/>
        <w:ind w:left="-199"/>
        <w:jc w:val="both"/>
        <w:rPr>
          <w:rFonts w:cs="David"/>
          <w:sz w:val="12"/>
          <w:szCs w:val="12"/>
          <w:rtl/>
          <w:lang w:eastAsia="he-IL"/>
        </w:rPr>
      </w:pPr>
    </w:p>
    <w:p w14:paraId="6BC1DC52" w14:textId="5811E86A" w:rsidR="000A4F8D" w:rsidRDefault="000A4F8D" w:rsidP="000A4F8D">
      <w:pPr>
        <w:pStyle w:val="af1"/>
        <w:spacing w:line="360" w:lineRule="auto"/>
        <w:ind w:left="-199"/>
        <w:jc w:val="both"/>
        <w:rPr>
          <w:rFonts w:cs="David"/>
          <w:noProof/>
          <w:sz w:val="24"/>
          <w:szCs w:val="24"/>
          <w:u w:val="single"/>
          <w:rtl/>
        </w:rPr>
      </w:pPr>
      <w:r w:rsidRPr="00043F56">
        <w:rPr>
          <w:rFonts w:cs="David" w:hint="cs"/>
          <w:noProof/>
          <w:sz w:val="24"/>
          <w:szCs w:val="24"/>
          <w:u w:val="single"/>
          <w:rtl/>
        </w:rPr>
        <w:t xml:space="preserve">די בכך כדי לקבוע כי קיים חשש ממשי (כדברי בית המשפט העליון הנכבד) שחשיפת </w:t>
      </w:r>
      <w:r>
        <w:rPr>
          <w:rFonts w:cs="David" w:hint="cs"/>
          <w:noProof/>
          <w:sz w:val="24"/>
          <w:szCs w:val="24"/>
          <w:u w:val="single"/>
          <w:rtl/>
        </w:rPr>
        <w:t>תצהיר החוקר</w:t>
      </w:r>
      <w:r w:rsidRPr="00043F56">
        <w:rPr>
          <w:rFonts w:cs="David" w:hint="cs"/>
          <w:noProof/>
          <w:sz w:val="24"/>
          <w:szCs w:val="24"/>
          <w:u w:val="single"/>
          <w:rtl/>
        </w:rPr>
        <w:t xml:space="preserve"> בשלב זה, דהיינו עובר לחקירת </w:t>
      </w:r>
      <w:r>
        <w:rPr>
          <w:rFonts w:cs="David" w:hint="cs"/>
          <w:noProof/>
          <w:sz w:val="24"/>
          <w:szCs w:val="24"/>
          <w:u w:val="single"/>
          <w:rtl/>
        </w:rPr>
        <w:t>התובע</w:t>
      </w:r>
      <w:r w:rsidR="00CB150C">
        <w:rPr>
          <w:rFonts w:cs="David" w:hint="cs"/>
          <w:noProof/>
          <w:sz w:val="24"/>
          <w:szCs w:val="24"/>
          <w:u w:val="single"/>
          <w:rtl/>
        </w:rPr>
        <w:t>ת</w:t>
      </w:r>
      <w:r>
        <w:rPr>
          <w:rFonts w:cs="David" w:hint="cs"/>
          <w:noProof/>
          <w:sz w:val="24"/>
          <w:szCs w:val="24"/>
          <w:u w:val="single"/>
          <w:rtl/>
        </w:rPr>
        <w:t xml:space="preserve"> ו/או עדי</w:t>
      </w:r>
      <w:r w:rsidR="00CB150C">
        <w:rPr>
          <w:rFonts w:cs="David" w:hint="cs"/>
          <w:noProof/>
          <w:sz w:val="24"/>
          <w:szCs w:val="24"/>
          <w:u w:val="single"/>
          <w:rtl/>
        </w:rPr>
        <w:t>ה</w:t>
      </w:r>
      <w:r>
        <w:rPr>
          <w:rFonts w:cs="David" w:hint="cs"/>
          <w:noProof/>
          <w:sz w:val="24"/>
          <w:szCs w:val="24"/>
          <w:u w:val="single"/>
          <w:rtl/>
        </w:rPr>
        <w:t xml:space="preserve"> </w:t>
      </w:r>
      <w:r w:rsidRPr="00043F56">
        <w:rPr>
          <w:rFonts w:cs="David" w:hint="cs"/>
          <w:noProof/>
          <w:sz w:val="24"/>
          <w:szCs w:val="24"/>
          <w:u w:val="single"/>
          <w:rtl/>
        </w:rPr>
        <w:t>בבית המשפט</w:t>
      </w:r>
      <w:r>
        <w:rPr>
          <w:rFonts w:cs="David" w:hint="cs"/>
          <w:noProof/>
          <w:sz w:val="24"/>
          <w:szCs w:val="24"/>
          <w:u w:val="single"/>
          <w:rtl/>
        </w:rPr>
        <w:t xml:space="preserve"> </w:t>
      </w:r>
      <w:r w:rsidRPr="00043F56">
        <w:rPr>
          <w:rFonts w:cs="David" w:hint="cs"/>
          <w:noProof/>
          <w:sz w:val="24"/>
          <w:szCs w:val="24"/>
          <w:u w:val="single"/>
          <w:rtl/>
        </w:rPr>
        <w:t xml:space="preserve">אודות </w:t>
      </w:r>
      <w:r>
        <w:rPr>
          <w:rFonts w:cs="David" w:hint="cs"/>
          <w:noProof/>
          <w:sz w:val="24"/>
          <w:szCs w:val="24"/>
          <w:u w:val="single"/>
          <w:rtl/>
        </w:rPr>
        <w:t>גירסתם</w:t>
      </w:r>
      <w:r w:rsidRPr="00043F56">
        <w:rPr>
          <w:rFonts w:cs="David" w:hint="cs"/>
          <w:noProof/>
          <w:sz w:val="24"/>
          <w:szCs w:val="24"/>
          <w:u w:val="single"/>
          <w:rtl/>
        </w:rPr>
        <w:t>, תסכל את אפשרות בית המשפט להגיע לחקר האמת</w:t>
      </w:r>
      <w:r>
        <w:rPr>
          <w:rFonts w:cs="David" w:hint="cs"/>
          <w:noProof/>
          <w:sz w:val="24"/>
          <w:szCs w:val="24"/>
          <w:u w:val="single"/>
          <w:rtl/>
        </w:rPr>
        <w:t>.</w:t>
      </w:r>
    </w:p>
    <w:p w14:paraId="072E3698" w14:textId="77777777" w:rsidR="000A4F8D" w:rsidRPr="00773A31" w:rsidRDefault="000A4F8D" w:rsidP="000A4F8D">
      <w:pPr>
        <w:pStyle w:val="af1"/>
        <w:spacing w:line="360" w:lineRule="auto"/>
        <w:ind w:left="-199"/>
        <w:jc w:val="both"/>
        <w:rPr>
          <w:rFonts w:cs="David"/>
          <w:sz w:val="12"/>
          <w:szCs w:val="12"/>
          <w:rtl/>
        </w:rPr>
      </w:pPr>
    </w:p>
    <w:p w14:paraId="12F121FD" w14:textId="3D233636" w:rsidR="000A4F8D" w:rsidRDefault="000A4F8D" w:rsidP="000A4F8D">
      <w:pPr>
        <w:pStyle w:val="af1"/>
        <w:numPr>
          <w:ilvl w:val="0"/>
          <w:numId w:val="1"/>
        </w:numPr>
        <w:spacing w:line="360" w:lineRule="auto"/>
        <w:ind w:left="-199" w:hanging="423"/>
        <w:jc w:val="both"/>
        <w:rPr>
          <w:rFonts w:cs="David"/>
          <w:noProof/>
          <w:sz w:val="24"/>
          <w:szCs w:val="24"/>
        </w:rPr>
      </w:pPr>
      <w:r w:rsidRPr="00043F56">
        <w:rPr>
          <w:rFonts w:cs="David" w:hint="cs"/>
          <w:noProof/>
          <w:sz w:val="24"/>
          <w:szCs w:val="24"/>
          <w:rtl/>
        </w:rPr>
        <w:t xml:space="preserve">אשר על כן, מתבקש בית המשפט הנכבד להיעתר לבקשה ולקבוע, כי תצהיר החוקר בצירוף </w:t>
      </w:r>
      <w:r>
        <w:rPr>
          <w:rFonts w:cs="David" w:hint="cs"/>
          <w:noProof/>
          <w:sz w:val="24"/>
          <w:szCs w:val="24"/>
          <w:rtl/>
        </w:rPr>
        <w:t>החומרים הגולמיים</w:t>
      </w:r>
      <w:r w:rsidR="00CB150C">
        <w:rPr>
          <w:rFonts w:cs="David" w:hint="cs"/>
          <w:noProof/>
          <w:sz w:val="24"/>
          <w:szCs w:val="24"/>
          <w:rtl/>
        </w:rPr>
        <w:t xml:space="preserve"> והדו"ח</w:t>
      </w:r>
      <w:r w:rsidRPr="00043F56">
        <w:rPr>
          <w:rFonts w:cs="David" w:hint="cs"/>
          <w:noProof/>
          <w:sz w:val="24"/>
          <w:szCs w:val="24"/>
          <w:rtl/>
        </w:rPr>
        <w:t xml:space="preserve"> יוגש</w:t>
      </w:r>
      <w:r w:rsidR="00CB150C">
        <w:rPr>
          <w:rFonts w:cs="David" w:hint="cs"/>
          <w:noProof/>
          <w:sz w:val="24"/>
          <w:szCs w:val="24"/>
          <w:rtl/>
        </w:rPr>
        <w:t>ו</w:t>
      </w:r>
      <w:r w:rsidRPr="00043F56">
        <w:rPr>
          <w:rFonts w:cs="David" w:hint="cs"/>
          <w:noProof/>
          <w:sz w:val="24"/>
          <w:szCs w:val="24"/>
          <w:rtl/>
        </w:rPr>
        <w:t xml:space="preserve"> </w:t>
      </w:r>
      <w:r>
        <w:rPr>
          <w:rFonts w:cs="David" w:hint="cs"/>
          <w:noProof/>
          <w:sz w:val="24"/>
          <w:szCs w:val="24"/>
          <w:rtl/>
        </w:rPr>
        <w:t>לאחר חקירת התוב</w:t>
      </w:r>
      <w:r w:rsidR="00CB150C">
        <w:rPr>
          <w:rFonts w:cs="David" w:hint="cs"/>
          <w:noProof/>
          <w:sz w:val="24"/>
          <w:szCs w:val="24"/>
          <w:rtl/>
        </w:rPr>
        <w:t>עת.</w:t>
      </w:r>
    </w:p>
    <w:p w14:paraId="552BE262" w14:textId="77777777" w:rsidR="00CB150C" w:rsidRDefault="00CB150C" w:rsidP="00CB150C">
      <w:pPr>
        <w:pStyle w:val="af1"/>
        <w:spacing w:line="360" w:lineRule="auto"/>
        <w:jc w:val="both"/>
        <w:rPr>
          <w:rFonts w:cs="David"/>
          <w:noProof/>
          <w:sz w:val="24"/>
          <w:szCs w:val="24"/>
          <w:rtl/>
        </w:rPr>
      </w:pPr>
    </w:p>
    <w:p w14:paraId="713E0FA1" w14:textId="77777777" w:rsidR="00CB150C" w:rsidRDefault="00CB150C" w:rsidP="00CB150C">
      <w:pPr>
        <w:pStyle w:val="af1"/>
        <w:spacing w:line="360" w:lineRule="auto"/>
        <w:jc w:val="both"/>
        <w:rPr>
          <w:rFonts w:cs="David"/>
          <w:noProof/>
          <w:sz w:val="24"/>
          <w:szCs w:val="24"/>
          <w:rtl/>
        </w:rPr>
      </w:pPr>
    </w:p>
    <w:p w14:paraId="6464D3BD" w14:textId="77777777" w:rsidR="00CB150C" w:rsidRDefault="00CB150C" w:rsidP="00CB150C">
      <w:pPr>
        <w:pStyle w:val="af1"/>
        <w:spacing w:line="360" w:lineRule="auto"/>
        <w:jc w:val="both"/>
        <w:rPr>
          <w:rFonts w:cs="David"/>
          <w:noProof/>
          <w:sz w:val="24"/>
          <w:szCs w:val="24"/>
        </w:rPr>
      </w:pPr>
    </w:p>
    <w:p w14:paraId="47B1A64D" w14:textId="77777777" w:rsidR="000A4F8D" w:rsidRDefault="000A4F8D" w:rsidP="000A4F8D">
      <w:pPr>
        <w:pStyle w:val="af1"/>
        <w:spacing w:line="360" w:lineRule="auto"/>
        <w:jc w:val="both"/>
        <w:rPr>
          <w:rFonts w:cs="David"/>
          <w:noProof/>
          <w:sz w:val="24"/>
          <w:szCs w:val="24"/>
        </w:rPr>
      </w:pPr>
    </w:p>
    <w:tbl>
      <w:tblPr>
        <w:tblStyle w:val="a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0"/>
        <w:gridCol w:w="2786"/>
      </w:tblGrid>
      <w:tr w:rsidR="000A4F8D" w14:paraId="6D4167C5" w14:textId="77777777" w:rsidTr="00FF50D6">
        <w:tc>
          <w:tcPr>
            <w:tcW w:w="5520" w:type="dxa"/>
          </w:tcPr>
          <w:p w14:paraId="0545A514" w14:textId="77777777" w:rsidR="000A4F8D" w:rsidRDefault="000A4F8D" w:rsidP="00FF50D6">
            <w:pPr>
              <w:rPr>
                <w:rtl/>
              </w:rPr>
            </w:pPr>
          </w:p>
        </w:tc>
        <w:tc>
          <w:tcPr>
            <w:tcW w:w="2786" w:type="dxa"/>
          </w:tcPr>
          <w:p w14:paraId="5BDAA038" w14:textId="7D0A9CA3" w:rsidR="000A4F8D" w:rsidRDefault="00CB150C" w:rsidP="00FF50D6">
            <w:pPr>
              <w:jc w:val="center"/>
              <w:rPr>
                <w:rtl/>
              </w:rPr>
            </w:pPr>
            <w:r>
              <w:rPr>
                <w:noProof/>
                <w:rtl/>
                <w:lang w:val="he-IL"/>
              </w:rPr>
              <mc:AlternateContent>
                <mc:Choice Requires="wps">
                  <w:drawing>
                    <wp:anchor distT="0" distB="0" distL="114300" distR="114300" simplePos="0" relativeHeight="251659264" behindDoc="0" locked="0" layoutInCell="1" allowOverlap="1" wp14:anchorId="1B2807BD" wp14:editId="4030E12C">
                      <wp:simplePos x="0" y="0"/>
                      <wp:positionH relativeFrom="column">
                        <wp:posOffset>79227</wp:posOffset>
                      </wp:positionH>
                      <wp:positionV relativeFrom="paragraph">
                        <wp:posOffset>105361</wp:posOffset>
                      </wp:positionV>
                      <wp:extent cx="1519311" cy="0"/>
                      <wp:effectExtent l="0" t="0" r="0" b="0"/>
                      <wp:wrapNone/>
                      <wp:docPr id="1235342555" name="מחבר ישר 1"/>
                      <wp:cNvGraphicFramePr/>
                      <a:graphic xmlns:a="http://schemas.openxmlformats.org/drawingml/2006/main">
                        <a:graphicData uri="http://schemas.microsoft.com/office/word/2010/wordprocessingShape">
                          <wps:wsp>
                            <wps:cNvCnPr/>
                            <wps:spPr>
                              <a:xfrm>
                                <a:off x="0" y="0"/>
                                <a:ext cx="15193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AB7567"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6.25pt,8.3pt" to="125.9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" strokecolor="black [3040]"/>
                  </w:pict>
                </mc:Fallback>
              </mc:AlternateContent>
            </w:r>
          </w:p>
        </w:tc>
      </w:tr>
      <w:tr w:rsidR="000A4F8D" w14:paraId="11EFAA96" w14:textId="77777777" w:rsidTr="00FF50D6">
        <w:tc>
          <w:tcPr>
            <w:tcW w:w="5520" w:type="dxa"/>
          </w:tcPr>
          <w:p w14:paraId="0136F232" w14:textId="77777777" w:rsidR="000A4F8D" w:rsidRPr="00E60794" w:rsidRDefault="000A4F8D" w:rsidP="00FF50D6">
            <w:pPr>
              <w:rPr>
                <w:rtl/>
              </w:rPr>
            </w:pPr>
          </w:p>
        </w:tc>
        <w:tc>
          <w:tcPr>
            <w:tcW w:w="2786" w:type="dxa"/>
          </w:tcPr>
          <w:p w14:paraId="33F624EF" w14:textId="7DB2F084" w:rsidR="000A4F8D" w:rsidRPr="00E60794" w:rsidRDefault="000A4F8D" w:rsidP="00FF50D6">
            <w:pPr>
              <w:rPr>
                <w:rtl/>
              </w:rPr>
            </w:pPr>
            <w:r>
              <w:rPr>
                <w:rFonts w:hint="cs"/>
                <w:rtl/>
              </w:rPr>
              <w:t xml:space="preserve">      </w:t>
            </w:r>
            <w:r w:rsidR="00CB150C">
              <w:rPr>
                <w:rFonts w:hint="cs"/>
                <w:rtl/>
              </w:rPr>
              <w:t>אריאל פרייברג</w:t>
            </w:r>
            <w:r w:rsidRPr="00E60794">
              <w:rPr>
                <w:rFonts w:hint="cs"/>
                <w:rtl/>
              </w:rPr>
              <w:t>, עו"ד</w:t>
            </w:r>
          </w:p>
          <w:p w14:paraId="04F3A438" w14:textId="43F522D7" w:rsidR="000A4F8D" w:rsidRPr="00E60794" w:rsidRDefault="000A4F8D" w:rsidP="00FF50D6">
            <w:pPr>
              <w:rPr>
                <w:rtl/>
              </w:rPr>
            </w:pPr>
            <w:r>
              <w:rPr>
                <w:rFonts w:hint="cs"/>
                <w:rtl/>
              </w:rPr>
              <w:t xml:space="preserve">             </w:t>
            </w:r>
            <w:r w:rsidRPr="00E60794">
              <w:rPr>
                <w:rFonts w:hint="cs"/>
                <w:rtl/>
              </w:rPr>
              <w:t xml:space="preserve">ב"כ </w:t>
            </w:r>
            <w:r w:rsidR="00CB150C">
              <w:rPr>
                <w:rFonts w:hint="cs"/>
                <w:rtl/>
              </w:rPr>
              <w:t>הנתבעים</w:t>
            </w:r>
          </w:p>
        </w:tc>
      </w:tr>
    </w:tbl>
    <w:p w14:paraId="39AFCE9F" w14:textId="77777777" w:rsidR="000A4F8D" w:rsidRPr="000A4F8D" w:rsidRDefault="000A4F8D" w:rsidP="000A4F8D"/>
    <w:sectPr w:rsidR="000A4F8D" w:rsidRPr="000A4F8D" w:rsidSect="000A4F8D">
      <w:pgSz w:w="11906" w:h="16838"/>
      <w:pgMar w:top="1418" w:right="1418" w:bottom="1418" w:left="1418"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62B6E"/>
    <w:multiLevelType w:val="hybridMultilevel"/>
    <w:tmpl w:val="8A488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6426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BA7"/>
    <w:rsid w:val="000236C3"/>
    <w:rsid w:val="00096F03"/>
    <w:rsid w:val="000A4F8D"/>
    <w:rsid w:val="000B6BD7"/>
    <w:rsid w:val="000C4F3B"/>
    <w:rsid w:val="00174021"/>
    <w:rsid w:val="001A05EE"/>
    <w:rsid w:val="002246D3"/>
    <w:rsid w:val="0029345E"/>
    <w:rsid w:val="002C179B"/>
    <w:rsid w:val="00341985"/>
    <w:rsid w:val="00396999"/>
    <w:rsid w:val="003E5046"/>
    <w:rsid w:val="003F7B0C"/>
    <w:rsid w:val="00401D54"/>
    <w:rsid w:val="004101DD"/>
    <w:rsid w:val="00457C28"/>
    <w:rsid w:val="00504398"/>
    <w:rsid w:val="005133AD"/>
    <w:rsid w:val="00520EEB"/>
    <w:rsid w:val="00547A92"/>
    <w:rsid w:val="005F33B7"/>
    <w:rsid w:val="006372C2"/>
    <w:rsid w:val="006853E5"/>
    <w:rsid w:val="006B2DF1"/>
    <w:rsid w:val="006C0239"/>
    <w:rsid w:val="007301CD"/>
    <w:rsid w:val="00736639"/>
    <w:rsid w:val="00746ED4"/>
    <w:rsid w:val="007A288A"/>
    <w:rsid w:val="007E3797"/>
    <w:rsid w:val="00807AE4"/>
    <w:rsid w:val="00922819"/>
    <w:rsid w:val="0095790C"/>
    <w:rsid w:val="009821DD"/>
    <w:rsid w:val="009D0A69"/>
    <w:rsid w:val="009E7CD0"/>
    <w:rsid w:val="00A11071"/>
    <w:rsid w:val="00A32C25"/>
    <w:rsid w:val="00A37BA7"/>
    <w:rsid w:val="00A5663F"/>
    <w:rsid w:val="00A57D1A"/>
    <w:rsid w:val="00A90FAC"/>
    <w:rsid w:val="00AD4A43"/>
    <w:rsid w:val="00B23C8B"/>
    <w:rsid w:val="00B26869"/>
    <w:rsid w:val="00B62A13"/>
    <w:rsid w:val="00C11F99"/>
    <w:rsid w:val="00C2344B"/>
    <w:rsid w:val="00C34071"/>
    <w:rsid w:val="00C453F0"/>
    <w:rsid w:val="00C8324C"/>
    <w:rsid w:val="00C84E17"/>
    <w:rsid w:val="00C96182"/>
    <w:rsid w:val="00C96DFE"/>
    <w:rsid w:val="00CB0FC6"/>
    <w:rsid w:val="00CB150C"/>
    <w:rsid w:val="00CD1E96"/>
    <w:rsid w:val="00D14DA4"/>
    <w:rsid w:val="00DD5B95"/>
    <w:rsid w:val="00DF4A21"/>
    <w:rsid w:val="00DF669E"/>
    <w:rsid w:val="00F00298"/>
    <w:rsid w:val="00F371D6"/>
    <w:rsid w:val="00F43250"/>
    <w:rsid w:val="00F64D31"/>
    <w:rsid w:val="00FB4CC0"/>
    <w:rsid w:val="00FD4F1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08C36"/>
  <w15:chartTrackingRefBased/>
  <w15:docId w15:val="{97609AFC-CC6B-4787-87C5-D389C6EC0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David"/>
        <w:kern w:val="2"/>
        <w:sz w:val="24"/>
        <w:szCs w:val="24"/>
        <w:lang w:val="en-US" w:eastAsia="en-US" w:bidi="he-IL"/>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4F8D"/>
  </w:style>
  <w:style w:type="paragraph" w:styleId="1">
    <w:name w:val="heading 1"/>
    <w:basedOn w:val="a"/>
    <w:next w:val="a"/>
    <w:link w:val="10"/>
    <w:uiPriority w:val="9"/>
    <w:qFormat/>
    <w:rsid w:val="00A37BA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uiPriority w:val="9"/>
    <w:semiHidden/>
    <w:unhideWhenUsed/>
    <w:qFormat/>
    <w:rsid w:val="00A37BA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A37BA7"/>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0"/>
    <w:uiPriority w:val="9"/>
    <w:semiHidden/>
    <w:unhideWhenUsed/>
    <w:qFormat/>
    <w:rsid w:val="00A37BA7"/>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iPriority w:val="9"/>
    <w:semiHidden/>
    <w:unhideWhenUsed/>
    <w:qFormat/>
    <w:rsid w:val="00A37BA7"/>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A37BA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37BA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37BA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37BA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47A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47A92"/>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547A92"/>
    <w:rPr>
      <w:rFonts w:ascii="Tahoma" w:hAnsi="Tahoma" w:cs="Tahoma"/>
      <w:sz w:val="16"/>
      <w:szCs w:val="16"/>
    </w:rPr>
  </w:style>
  <w:style w:type="character" w:customStyle="1" w:styleId="10">
    <w:name w:val="כותרת 1 תו"/>
    <w:basedOn w:val="a0"/>
    <w:link w:val="1"/>
    <w:uiPriority w:val="9"/>
    <w:rsid w:val="00A37BA7"/>
    <w:rPr>
      <w:rFonts w:asciiTheme="majorHAnsi" w:eastAsiaTheme="majorEastAsia" w:hAnsiTheme="majorHAnsi" w:cstheme="majorBidi"/>
      <w:color w:val="365F91" w:themeColor="accent1" w:themeShade="BF"/>
      <w:sz w:val="40"/>
      <w:szCs w:val="40"/>
    </w:rPr>
  </w:style>
  <w:style w:type="character" w:customStyle="1" w:styleId="20">
    <w:name w:val="כותרת 2 תו"/>
    <w:basedOn w:val="a0"/>
    <w:link w:val="2"/>
    <w:uiPriority w:val="9"/>
    <w:semiHidden/>
    <w:rsid w:val="00A37BA7"/>
    <w:rPr>
      <w:rFonts w:asciiTheme="majorHAnsi" w:eastAsiaTheme="majorEastAsia" w:hAnsiTheme="majorHAnsi" w:cstheme="majorBidi"/>
      <w:color w:val="365F91" w:themeColor="accent1" w:themeShade="BF"/>
      <w:sz w:val="32"/>
      <w:szCs w:val="32"/>
    </w:rPr>
  </w:style>
  <w:style w:type="character" w:customStyle="1" w:styleId="30">
    <w:name w:val="כותרת 3 תו"/>
    <w:basedOn w:val="a0"/>
    <w:link w:val="3"/>
    <w:uiPriority w:val="9"/>
    <w:semiHidden/>
    <w:rsid w:val="00A37BA7"/>
    <w:rPr>
      <w:rFonts w:eastAsiaTheme="majorEastAsia" w:cstheme="majorBidi"/>
      <w:color w:val="365F91" w:themeColor="accent1" w:themeShade="BF"/>
      <w:sz w:val="28"/>
      <w:szCs w:val="28"/>
    </w:rPr>
  </w:style>
  <w:style w:type="character" w:customStyle="1" w:styleId="40">
    <w:name w:val="כותרת 4 תו"/>
    <w:basedOn w:val="a0"/>
    <w:link w:val="4"/>
    <w:uiPriority w:val="9"/>
    <w:semiHidden/>
    <w:rsid w:val="00A37BA7"/>
    <w:rPr>
      <w:rFonts w:eastAsiaTheme="majorEastAsia" w:cstheme="majorBidi"/>
      <w:i/>
      <w:iCs/>
      <w:color w:val="365F91" w:themeColor="accent1" w:themeShade="BF"/>
    </w:rPr>
  </w:style>
  <w:style w:type="character" w:customStyle="1" w:styleId="50">
    <w:name w:val="כותרת 5 תו"/>
    <w:basedOn w:val="a0"/>
    <w:link w:val="5"/>
    <w:uiPriority w:val="9"/>
    <w:semiHidden/>
    <w:rsid w:val="00A37BA7"/>
    <w:rPr>
      <w:rFonts w:eastAsiaTheme="majorEastAsia" w:cstheme="majorBidi"/>
      <w:color w:val="365F91" w:themeColor="accent1" w:themeShade="BF"/>
    </w:rPr>
  </w:style>
  <w:style w:type="character" w:customStyle="1" w:styleId="60">
    <w:name w:val="כותרת 6 תו"/>
    <w:basedOn w:val="a0"/>
    <w:link w:val="6"/>
    <w:uiPriority w:val="9"/>
    <w:semiHidden/>
    <w:rsid w:val="00A37BA7"/>
    <w:rPr>
      <w:rFonts w:eastAsiaTheme="majorEastAsia" w:cstheme="majorBidi"/>
      <w:i/>
      <w:iCs/>
      <w:color w:val="595959" w:themeColor="text1" w:themeTint="A6"/>
    </w:rPr>
  </w:style>
  <w:style w:type="character" w:customStyle="1" w:styleId="70">
    <w:name w:val="כותרת 7 תו"/>
    <w:basedOn w:val="a0"/>
    <w:link w:val="7"/>
    <w:uiPriority w:val="9"/>
    <w:semiHidden/>
    <w:rsid w:val="00A37BA7"/>
    <w:rPr>
      <w:rFonts w:eastAsiaTheme="majorEastAsia" w:cstheme="majorBidi"/>
      <w:color w:val="595959" w:themeColor="text1" w:themeTint="A6"/>
    </w:rPr>
  </w:style>
  <w:style w:type="character" w:customStyle="1" w:styleId="80">
    <w:name w:val="כותרת 8 תו"/>
    <w:basedOn w:val="a0"/>
    <w:link w:val="8"/>
    <w:uiPriority w:val="9"/>
    <w:semiHidden/>
    <w:rsid w:val="00A37BA7"/>
    <w:rPr>
      <w:rFonts w:eastAsiaTheme="majorEastAsia" w:cstheme="majorBidi"/>
      <w:i/>
      <w:iCs/>
      <w:color w:val="272727" w:themeColor="text1" w:themeTint="D8"/>
    </w:rPr>
  </w:style>
  <w:style w:type="character" w:customStyle="1" w:styleId="90">
    <w:name w:val="כותרת 9 תו"/>
    <w:basedOn w:val="a0"/>
    <w:link w:val="9"/>
    <w:uiPriority w:val="9"/>
    <w:semiHidden/>
    <w:rsid w:val="00A37BA7"/>
    <w:rPr>
      <w:rFonts w:eastAsiaTheme="majorEastAsia" w:cstheme="majorBidi"/>
      <w:color w:val="272727" w:themeColor="text1" w:themeTint="D8"/>
    </w:rPr>
  </w:style>
  <w:style w:type="paragraph" w:styleId="a6">
    <w:name w:val="Title"/>
    <w:basedOn w:val="a"/>
    <w:next w:val="a"/>
    <w:link w:val="a7"/>
    <w:uiPriority w:val="10"/>
    <w:qFormat/>
    <w:rsid w:val="00A37B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7">
    <w:name w:val="כותרת טקסט תו"/>
    <w:basedOn w:val="a0"/>
    <w:link w:val="a6"/>
    <w:uiPriority w:val="10"/>
    <w:rsid w:val="00A37BA7"/>
    <w:rPr>
      <w:rFonts w:asciiTheme="majorHAnsi" w:eastAsiaTheme="majorEastAsia" w:hAnsiTheme="majorHAnsi" w:cstheme="majorBidi"/>
      <w:spacing w:val="-10"/>
      <w:kern w:val="28"/>
      <w:sz w:val="56"/>
      <w:szCs w:val="56"/>
    </w:rPr>
  </w:style>
  <w:style w:type="paragraph" w:styleId="a8">
    <w:name w:val="Subtitle"/>
    <w:basedOn w:val="a"/>
    <w:next w:val="a"/>
    <w:link w:val="a9"/>
    <w:uiPriority w:val="11"/>
    <w:qFormat/>
    <w:rsid w:val="00A37BA7"/>
    <w:pPr>
      <w:numPr>
        <w:ilvl w:val="1"/>
      </w:numPr>
    </w:pPr>
    <w:rPr>
      <w:rFonts w:eastAsiaTheme="majorEastAsia" w:cstheme="majorBidi"/>
      <w:color w:val="595959" w:themeColor="text1" w:themeTint="A6"/>
      <w:spacing w:val="15"/>
      <w:sz w:val="28"/>
      <w:szCs w:val="28"/>
    </w:rPr>
  </w:style>
  <w:style w:type="character" w:customStyle="1" w:styleId="a9">
    <w:name w:val="כותרת משנה תו"/>
    <w:basedOn w:val="a0"/>
    <w:link w:val="a8"/>
    <w:uiPriority w:val="11"/>
    <w:rsid w:val="00A37BA7"/>
    <w:rPr>
      <w:rFonts w:eastAsiaTheme="majorEastAsia" w:cstheme="majorBidi"/>
      <w:color w:val="595959" w:themeColor="text1" w:themeTint="A6"/>
      <w:spacing w:val="15"/>
      <w:sz w:val="28"/>
      <w:szCs w:val="28"/>
    </w:rPr>
  </w:style>
  <w:style w:type="paragraph" w:styleId="aa">
    <w:name w:val="Quote"/>
    <w:basedOn w:val="a"/>
    <w:next w:val="a"/>
    <w:link w:val="ab"/>
    <w:uiPriority w:val="29"/>
    <w:qFormat/>
    <w:rsid w:val="00A37BA7"/>
    <w:pPr>
      <w:spacing w:before="160"/>
      <w:jc w:val="center"/>
    </w:pPr>
    <w:rPr>
      <w:i/>
      <w:iCs/>
      <w:color w:val="404040" w:themeColor="text1" w:themeTint="BF"/>
    </w:rPr>
  </w:style>
  <w:style w:type="character" w:customStyle="1" w:styleId="ab">
    <w:name w:val="ציטוט תו"/>
    <w:basedOn w:val="a0"/>
    <w:link w:val="aa"/>
    <w:uiPriority w:val="29"/>
    <w:rsid w:val="00A37BA7"/>
    <w:rPr>
      <w:i/>
      <w:iCs/>
      <w:color w:val="404040" w:themeColor="text1" w:themeTint="BF"/>
    </w:rPr>
  </w:style>
  <w:style w:type="paragraph" w:styleId="ac">
    <w:name w:val="List Paragraph"/>
    <w:basedOn w:val="a"/>
    <w:uiPriority w:val="34"/>
    <w:qFormat/>
    <w:rsid w:val="00A37BA7"/>
    <w:pPr>
      <w:ind w:left="720"/>
      <w:contextualSpacing/>
    </w:pPr>
  </w:style>
  <w:style w:type="character" w:styleId="ad">
    <w:name w:val="Intense Emphasis"/>
    <w:basedOn w:val="a0"/>
    <w:uiPriority w:val="21"/>
    <w:qFormat/>
    <w:rsid w:val="00A37BA7"/>
    <w:rPr>
      <w:i/>
      <w:iCs/>
      <w:color w:val="365F91" w:themeColor="accent1" w:themeShade="BF"/>
    </w:rPr>
  </w:style>
  <w:style w:type="paragraph" w:styleId="ae">
    <w:name w:val="Intense Quote"/>
    <w:basedOn w:val="a"/>
    <w:next w:val="a"/>
    <w:link w:val="af"/>
    <w:uiPriority w:val="30"/>
    <w:qFormat/>
    <w:rsid w:val="00A37BA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
    <w:name w:val="ציטוט חזק תו"/>
    <w:basedOn w:val="a0"/>
    <w:link w:val="ae"/>
    <w:uiPriority w:val="30"/>
    <w:rsid w:val="00A37BA7"/>
    <w:rPr>
      <w:i/>
      <w:iCs/>
      <w:color w:val="365F91" w:themeColor="accent1" w:themeShade="BF"/>
    </w:rPr>
  </w:style>
  <w:style w:type="character" w:styleId="af0">
    <w:name w:val="Intense Reference"/>
    <w:basedOn w:val="a0"/>
    <w:uiPriority w:val="32"/>
    <w:qFormat/>
    <w:rsid w:val="00A37BA7"/>
    <w:rPr>
      <w:b/>
      <w:bCs/>
      <w:smallCaps/>
      <w:color w:val="365F91" w:themeColor="accent1" w:themeShade="BF"/>
      <w:spacing w:val="5"/>
    </w:rPr>
  </w:style>
  <w:style w:type="paragraph" w:styleId="af1">
    <w:name w:val="No Spacing"/>
    <w:uiPriority w:val="1"/>
    <w:qFormat/>
    <w:rsid w:val="000A4F8D"/>
    <w:pPr>
      <w:spacing w:after="0" w:line="240" w:lineRule="auto"/>
    </w:pPr>
    <w:rPr>
      <w:rFonts w:cstheme="minorBidi"/>
      <w:kern w:val="0"/>
      <w:sz w:val="22"/>
      <w:szCs w:val="22"/>
      <w14:ligatures w14:val="none"/>
    </w:rPr>
  </w:style>
  <w:style w:type="character" w:styleId="Hyperlink">
    <w:name w:val="Hyperlink"/>
    <w:rsid w:val="00A1107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ffice@freiberg-law.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orislev@yashar-law.co.i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6E9FA-D5FE-47E1-ACC8-DB035B1F8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Pages>
  <Words>796</Words>
  <Characters>3984</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בקשה לעיכוב חשיפת תצהיר חוקר</vt:lpstr>
    </vt:vector>
  </TitlesOfParts>
  <Manager>קמין - סילש, משרד עו"ד (77771)   </Manager>
  <Company>מגדל  פלת"ד חברה לביטוח בע"מ</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לעיכוב חשיפת תצהיר חוקר</dc:title>
  <dc:subject>562/152</dc:subject>
  <dc:creator>G2157314-V1</dc:creator>
  <cp:keywords>\\KS-DC\data\commit_docs\562\00152\G2157314-V001.docX מגדל  פלת"ד חברה לביטוח בע"מ אקינשין ודים 562/152 בקשה לעיכוב חשיפת תצהיר חוקר 2157314-V1 G2157314-V1</cp:keywords>
  <dc:description>אושרת_x000d_
מגדל  פלת"ד חברה לביטוח בע"מ_x000d_
בקשה לעיכוב חשיפת תצהיר חוקר</dc:description>
  <cp:lastModifiedBy>ariel f</cp:lastModifiedBy>
  <cp:revision>8</cp:revision>
  <cp:lastPrinted>2025-07-28T11:49:00Z</cp:lastPrinted>
  <dcterms:created xsi:type="dcterms:W3CDTF">2025-07-28T06:38:00Z</dcterms:created>
  <dcterms:modified xsi:type="dcterms:W3CDTF">2025-07-29T06:53:00Z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1022234</vt:lpwstr>
  </property>
</Properties>
</file>