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9719410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943141A" w14:textId="77777777" w:rsidR="004E3D29" w:rsidRDefault="004E3D29" w:rsidP="004E3D29">
      <w:pPr>
        <w:rPr>
          <w:rFonts w:ascii="Tahoma" w:hAnsi="Tahoma"/>
          <w:sz w:val="26"/>
          <w:szCs w:val="26"/>
          <w:rtl/>
        </w:rPr>
      </w:pPr>
      <w:r>
        <w:rPr>
          <w:rFonts w:ascii="Tahoma" w:hAnsi="Tahoma"/>
          <w:sz w:val="26"/>
          <w:szCs w:val="26"/>
          <w:rtl/>
        </w:rPr>
        <w:t>לכבוד</w:t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</w:p>
    <w:p w14:paraId="1D671100" w14:textId="57090048" w:rsidR="004E3D29" w:rsidRDefault="004E3D29" w:rsidP="004E3D29">
      <w:pPr>
        <w:rPr>
          <w:rFonts w:ascii="Tahoma" w:hAnsi="Tahoma"/>
          <w:sz w:val="26"/>
          <w:szCs w:val="26"/>
        </w:rPr>
      </w:pPr>
      <w:r>
        <w:rPr>
          <w:rFonts w:ascii="Tahoma" w:hAnsi="Tahoma" w:hint="cs"/>
          <w:sz w:val="26"/>
          <w:szCs w:val="26"/>
          <w:rtl/>
        </w:rPr>
        <w:t xml:space="preserve">משרד הבטחון - אגף השיקום </w:t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  <w:r>
        <w:rPr>
          <w:rFonts w:ascii="Tahoma" w:hAnsi="Tahoma"/>
          <w:sz w:val="26"/>
          <w:szCs w:val="26"/>
          <w:rtl/>
        </w:rPr>
        <w:tab/>
      </w:r>
    </w:p>
    <w:p w14:paraId="1603E1AD" w14:textId="77777777" w:rsidR="004E3D29" w:rsidRDefault="004E3D29" w:rsidP="004E3D29">
      <w:pPr>
        <w:rPr>
          <w:rFonts w:ascii="Tahoma" w:hAnsi="Tahoma"/>
          <w:spacing w:val="12"/>
          <w:sz w:val="26"/>
          <w:szCs w:val="26"/>
          <w:rtl/>
        </w:rPr>
      </w:pPr>
      <w:r>
        <w:rPr>
          <w:rFonts w:ascii="Tahoma" w:hAnsi="Tahoma" w:hint="cs"/>
          <w:spacing w:val="12"/>
          <w:sz w:val="26"/>
          <w:szCs w:val="26"/>
          <w:rtl/>
        </w:rPr>
        <w:t>קצין התגמולים</w:t>
      </w:r>
    </w:p>
    <w:p w14:paraId="2DF577ED" w14:textId="494DBC51" w:rsidR="004E3D29" w:rsidRPr="00926007" w:rsidRDefault="004E3D29" w:rsidP="004E3D29">
      <w:pPr>
        <w:rPr>
          <w:rFonts w:ascii="Tahoma" w:hAnsi="Tahoma"/>
          <w:spacing w:val="12"/>
          <w:sz w:val="26"/>
          <w:szCs w:val="26"/>
          <w:u w:val="single"/>
          <w:rtl/>
        </w:rPr>
      </w:pPr>
      <w:r w:rsidRPr="00926007">
        <w:rPr>
          <w:rFonts w:ascii="Tahoma" w:hAnsi="Tahoma" w:hint="cs"/>
          <w:spacing w:val="12"/>
          <w:sz w:val="26"/>
          <w:szCs w:val="26"/>
          <w:u w:val="single"/>
          <w:rtl/>
        </w:rPr>
        <w:t xml:space="preserve">מרחוב </w:t>
      </w:r>
      <w:r>
        <w:rPr>
          <w:rFonts w:ascii="Tahoma" w:hAnsi="Tahoma" w:hint="cs"/>
          <w:spacing w:val="12"/>
          <w:sz w:val="26"/>
          <w:szCs w:val="26"/>
          <w:u w:val="single"/>
          <w:rtl/>
        </w:rPr>
        <w:t>ז'בוטינסקי 94, פתח תקווה 4959521</w:t>
      </w:r>
      <w:r>
        <w:rPr>
          <w:rFonts w:ascii="Tahoma" w:hAnsi="Tahoma" w:hint="cs"/>
          <w:spacing w:val="12"/>
          <w:sz w:val="26"/>
          <w:szCs w:val="26"/>
          <w:u w:val="single"/>
          <w:rtl/>
        </w:rPr>
        <w:t xml:space="preserve"> </w:t>
      </w:r>
    </w:p>
    <w:p w14:paraId="0B9898BF" w14:textId="5EA76636" w:rsidR="00235804" w:rsidRDefault="004E3D29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ק</w:t>
      </w:r>
      <w:r w:rsidR="00235804">
        <w:rPr>
          <w:rFonts w:hint="cs"/>
          <w:sz w:val="26"/>
          <w:szCs w:val="26"/>
          <w:rtl/>
        </w:rPr>
        <w:t>.נ.</w:t>
      </w:r>
      <w:r w:rsidR="00E728DA">
        <w:rPr>
          <w:rFonts w:hint="cs"/>
          <w:sz w:val="26"/>
          <w:szCs w:val="26"/>
          <w:rtl/>
        </w:rPr>
        <w:t xml:space="preserve"> שלום רב,</w:t>
      </w:r>
    </w:p>
    <w:p w14:paraId="12540F31" w14:textId="272D65B8" w:rsidR="00235804" w:rsidRDefault="00235804" w:rsidP="004E3D29">
      <w:pPr>
        <w:spacing w:line="240" w:lineRule="auto"/>
        <w:ind w:left="288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4E3D29">
        <w:rPr>
          <w:rFonts w:hint="cs"/>
          <w:b/>
          <w:bCs/>
          <w:sz w:val="26"/>
          <w:szCs w:val="26"/>
          <w:u w:val="single"/>
          <w:rtl/>
        </w:rPr>
        <w:t xml:space="preserve">דורון </w:t>
      </w:r>
      <w:proofErr w:type="spellStart"/>
      <w:r w:rsidR="004E3D29">
        <w:rPr>
          <w:rFonts w:hint="cs"/>
          <w:b/>
          <w:bCs/>
          <w:sz w:val="26"/>
          <w:szCs w:val="26"/>
          <w:u w:val="single"/>
          <w:rtl/>
        </w:rPr>
        <w:t>טלמור</w:t>
      </w:r>
      <w:proofErr w:type="spellEnd"/>
      <w:r w:rsidR="00E728DA">
        <w:rPr>
          <w:rFonts w:hint="cs"/>
          <w:b/>
          <w:bCs/>
          <w:sz w:val="26"/>
          <w:szCs w:val="26"/>
          <w:u w:val="single"/>
          <w:rtl/>
        </w:rPr>
        <w:t>,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ת"ז </w:t>
      </w:r>
      <w:r w:rsidR="004E3D29">
        <w:rPr>
          <w:rFonts w:hint="cs"/>
          <w:b/>
          <w:bCs/>
          <w:sz w:val="26"/>
          <w:szCs w:val="26"/>
          <w:u w:val="single"/>
          <w:rtl/>
        </w:rPr>
        <w:t>028638526</w:t>
      </w:r>
    </w:p>
    <w:p w14:paraId="472B4B0D" w14:textId="446AEE4D" w:rsidR="007C7C21" w:rsidRDefault="007C7C21" w:rsidP="004E3D29">
      <w:pPr>
        <w:spacing w:line="240" w:lineRule="auto"/>
        <w:ind w:left="2880"/>
        <w:rPr>
          <w:b/>
          <w:bCs/>
          <w:sz w:val="26"/>
          <w:szCs w:val="26"/>
          <w:rtl/>
        </w:rPr>
      </w:pPr>
      <w:bookmarkStart w:id="0" w:name="OLE_LINK1"/>
      <w:r w:rsidRPr="007C7C21">
        <w:rPr>
          <w:b/>
          <w:bCs/>
          <w:sz w:val="26"/>
          <w:szCs w:val="26"/>
          <w:rtl/>
        </w:rPr>
        <w:tab/>
      </w:r>
      <w:r w:rsidR="004E3D29">
        <w:rPr>
          <w:rFonts w:hint="cs"/>
          <w:b/>
          <w:bCs/>
          <w:sz w:val="26"/>
          <w:szCs w:val="26"/>
          <w:rtl/>
        </w:rPr>
        <w:t xml:space="preserve">תביעה לנכות מוסבת </w:t>
      </w:r>
      <w:r w:rsidR="004E3D29">
        <w:rPr>
          <w:b/>
          <w:bCs/>
          <w:sz w:val="26"/>
          <w:szCs w:val="26"/>
          <w:rtl/>
        </w:rPr>
        <w:t>–</w:t>
      </w:r>
      <w:r w:rsidR="004E3D29">
        <w:rPr>
          <w:rFonts w:hint="cs"/>
          <w:b/>
          <w:bCs/>
          <w:sz w:val="26"/>
          <w:szCs w:val="26"/>
          <w:rtl/>
        </w:rPr>
        <w:t xml:space="preserve"> תקנה 9</w:t>
      </w:r>
    </w:p>
    <w:bookmarkEnd w:id="0"/>
    <w:p w14:paraId="0CEB6966" w14:textId="65155D1A" w:rsidR="004E3D29" w:rsidRDefault="004E3D29" w:rsidP="006D65CE">
      <w:pPr>
        <w:ind w:right="993"/>
        <w:rPr>
          <w:rtl/>
        </w:rPr>
      </w:pPr>
      <w:r>
        <w:rPr>
          <w:rFonts w:hint="cs"/>
          <w:rtl/>
        </w:rPr>
        <w:t>בזיקה להליך 40376-04-16 ולהליך 7125-09-20</w:t>
      </w:r>
      <w:r>
        <w:rPr>
          <w:rFonts w:hint="cs"/>
          <w:rtl/>
        </w:rPr>
        <w:t xml:space="preserve"> </w:t>
      </w:r>
      <w:proofErr w:type="spellStart"/>
      <w:r w:rsidRPr="004E3D29">
        <w:rPr>
          <w:rFonts w:hint="cs"/>
          <w:b/>
          <w:bCs/>
          <w:rtl/>
        </w:rPr>
        <w:t>טלמור</w:t>
      </w:r>
      <w:proofErr w:type="spellEnd"/>
      <w:r w:rsidRPr="004E3D29">
        <w:rPr>
          <w:rFonts w:hint="cs"/>
          <w:b/>
          <w:bCs/>
          <w:rtl/>
        </w:rPr>
        <w:t xml:space="preserve"> נ' קצין התגמולים</w:t>
      </w:r>
      <w:r>
        <w:rPr>
          <w:rFonts w:hint="cs"/>
          <w:rtl/>
        </w:rPr>
        <w:t xml:space="preserve">, </w:t>
      </w:r>
      <w:r>
        <w:rPr>
          <w:rFonts w:hint="cs"/>
          <w:rtl/>
        </w:rPr>
        <w:t>מתכבד מרשי, הנכה שבנדון לנות לוועדה הנכבדה בתביעה לנכות מוסבת כדלקמן:</w:t>
      </w:r>
    </w:p>
    <w:p w14:paraId="046495AE" w14:textId="12682AA5" w:rsidR="004E3D29" w:rsidRDefault="004E3D29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 w:hanging="612"/>
        <w:jc w:val="both"/>
        <w:rPr>
          <w:rFonts w:ascii="David" w:hAnsi="David" w:cs="David"/>
        </w:rPr>
      </w:pPr>
      <w:r w:rsidRPr="004E3D29">
        <w:rPr>
          <w:rFonts w:ascii="David" w:hAnsi="David" w:cs="David"/>
          <w:rtl/>
        </w:rPr>
        <w:t xml:space="preserve">בהחלטתכם מיום </w:t>
      </w:r>
      <w:r>
        <w:rPr>
          <w:rFonts w:ascii="David" w:hAnsi="David" w:cs="David" w:hint="cs"/>
          <w:rtl/>
        </w:rPr>
        <w:t>12/5/2024</w:t>
      </w:r>
      <w:r w:rsidRPr="004E3D29">
        <w:rPr>
          <w:rFonts w:ascii="David" w:hAnsi="David" w:cs="David"/>
          <w:rtl/>
        </w:rPr>
        <w:t xml:space="preserve"> בהמשך לפסק דינ</w:t>
      </w:r>
      <w:r>
        <w:rPr>
          <w:rFonts w:ascii="David" w:hAnsi="David" w:cs="David" w:hint="cs"/>
          <w:rtl/>
        </w:rPr>
        <w:t>ה</w:t>
      </w:r>
      <w:r w:rsidRPr="004E3D29">
        <w:rPr>
          <w:rFonts w:ascii="David" w:hAnsi="David" w:cs="David"/>
          <w:rtl/>
        </w:rPr>
        <w:t xml:space="preserve"> של </w:t>
      </w:r>
      <w:r>
        <w:rPr>
          <w:rFonts w:ascii="David" w:hAnsi="David" w:cs="David" w:hint="cs"/>
          <w:rtl/>
        </w:rPr>
        <w:t>הוועדה הנכבדה</w:t>
      </w:r>
      <w:r w:rsidRPr="004E3D29">
        <w:rPr>
          <w:rFonts w:ascii="David" w:hAnsi="David" w:cs="David"/>
          <w:rtl/>
        </w:rPr>
        <w:t xml:space="preserve"> בהליך 7125-09-20 </w:t>
      </w:r>
      <w:r>
        <w:rPr>
          <w:rFonts w:ascii="David" w:hAnsi="David" w:cs="David" w:hint="cs"/>
          <w:rtl/>
        </w:rPr>
        <w:t>מיום 9/5/2023 (</w:t>
      </w:r>
      <w:proofErr w:type="spellStart"/>
      <w:r>
        <w:rPr>
          <w:rFonts w:ascii="David" w:hAnsi="David" w:cs="David" w:hint="cs"/>
          <w:rtl/>
        </w:rPr>
        <w:t>להלן:"</w:t>
      </w:r>
      <w:r>
        <w:rPr>
          <w:rFonts w:ascii="David" w:hAnsi="David" w:cs="David" w:hint="cs"/>
          <w:b/>
          <w:bCs/>
          <w:rtl/>
        </w:rPr>
        <w:t>פסק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 w:rsidRPr="004E3D29">
        <w:rPr>
          <w:rFonts w:ascii="David" w:hAnsi="David" w:cs="David" w:hint="cs"/>
          <w:b/>
          <w:bCs/>
          <w:rtl/>
        </w:rPr>
        <w:t>הדין</w:t>
      </w:r>
      <w:r>
        <w:rPr>
          <w:rFonts w:ascii="David" w:hAnsi="David" w:cs="David" w:hint="cs"/>
          <w:rtl/>
        </w:rPr>
        <w:t xml:space="preserve">") </w:t>
      </w:r>
      <w:r w:rsidRPr="004E3D29">
        <w:rPr>
          <w:rFonts w:ascii="David" w:hAnsi="David" w:cs="David"/>
          <w:rtl/>
        </w:rPr>
        <w:t>נקבע כי מחלת האסטמה ממנה סבל מרשי הוחמרה כתוצאה משירותו הצבאי ונכותו בגין שירותו הצבאי נקבעה בשיעור 20% לצמיתות.</w:t>
      </w:r>
    </w:p>
    <w:p w14:paraId="55034DAA" w14:textId="77777777" w:rsidR="006D65CE" w:rsidRDefault="006D65CE" w:rsidP="006D65CE">
      <w:pPr>
        <w:pStyle w:val="aa"/>
        <w:bidi/>
        <w:spacing w:line="360" w:lineRule="auto"/>
        <w:ind w:left="565" w:right="1440"/>
        <w:jc w:val="both"/>
        <w:rPr>
          <w:rFonts w:ascii="David" w:hAnsi="David" w:cs="David"/>
        </w:rPr>
      </w:pPr>
    </w:p>
    <w:p w14:paraId="381E5CFD" w14:textId="7E5FF4BE" w:rsidR="004E3D29" w:rsidRDefault="004E3D29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 w:hanging="612"/>
        <w:jc w:val="both"/>
        <w:rPr>
          <w:rFonts w:ascii="David" w:hAnsi="David" w:cs="David"/>
        </w:rPr>
      </w:pPr>
      <w:r w:rsidRPr="004E3D29">
        <w:rPr>
          <w:rFonts w:ascii="David" w:hAnsi="David" w:cs="David" w:hint="cs"/>
          <w:rtl/>
        </w:rPr>
        <w:t>בפסק דינה נקבע ע"י הוועדה הנכבדה</w:t>
      </w:r>
      <w:r w:rsidRPr="004E3D29">
        <w:rPr>
          <w:rFonts w:ascii="David" w:hAnsi="David" w:cs="David" w:hint="cs"/>
          <w:rtl/>
        </w:rPr>
        <w:t>, בין היתר, כי</w:t>
      </w:r>
      <w:r w:rsidRPr="004E3D29">
        <w:rPr>
          <w:rFonts w:ascii="David" w:hAnsi="David" w:cs="David" w:hint="cs"/>
          <w:rtl/>
        </w:rPr>
        <w:t xml:space="preserve"> בזמן שירותו וכתוצאה ממנו לקה המערער בזיהומים בדרכי הנשימה, (עמ' 68 ש' 8-14, עמ' 69 ש' 17-22, עמ' 5 ש' 5-8 לפסק דינה של הוועדה הנכבדה מיום 09/05/2023)</w:t>
      </w:r>
      <w:r w:rsidR="00E01E64">
        <w:rPr>
          <w:rFonts w:ascii="David" w:hAnsi="David" w:cs="David" w:hint="cs"/>
          <w:rtl/>
        </w:rPr>
        <w:t>.</w:t>
      </w:r>
    </w:p>
    <w:p w14:paraId="4BA9F18E" w14:textId="77777777" w:rsidR="006D65CE" w:rsidRPr="006D65CE" w:rsidRDefault="006D65CE" w:rsidP="006D65CE">
      <w:pPr>
        <w:ind w:right="1440"/>
      </w:pPr>
    </w:p>
    <w:p w14:paraId="4F1FD1E0" w14:textId="1E5D115E" w:rsidR="00E01E64" w:rsidRDefault="00E01E64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/>
        <w:jc w:val="both"/>
        <w:rPr>
          <w:rFonts w:ascii="David" w:hAnsi="David" w:cs="David"/>
        </w:rPr>
      </w:pPr>
      <w:r w:rsidRPr="00C30371">
        <w:rPr>
          <w:rFonts w:ascii="David" w:hAnsi="David" w:cs="David" w:hint="cs"/>
          <w:rtl/>
        </w:rPr>
        <w:t xml:space="preserve">מרשי חלה במחלת כליות </w:t>
      </w:r>
      <w:r w:rsidRPr="00C30371">
        <w:rPr>
          <w:rFonts w:ascii="David" w:hAnsi="David" w:cs="David"/>
        </w:rPr>
        <w:t xml:space="preserve">IgA </w:t>
      </w:r>
      <w:proofErr w:type="spellStart"/>
      <w:r w:rsidRPr="00C30371">
        <w:rPr>
          <w:rFonts w:ascii="David" w:hAnsi="David" w:cs="David"/>
        </w:rPr>
        <w:t>Neprhropathy</w:t>
      </w:r>
      <w:proofErr w:type="spellEnd"/>
      <w:r w:rsidRPr="00C30371">
        <w:rPr>
          <w:rFonts w:ascii="David" w:hAnsi="David" w:cs="David" w:hint="cs"/>
          <w:rtl/>
        </w:rPr>
        <w:t xml:space="preserve"> (</w:t>
      </w:r>
      <w:proofErr w:type="spellStart"/>
      <w:r w:rsidRPr="00C30371">
        <w:rPr>
          <w:rFonts w:ascii="David" w:hAnsi="David" w:cs="David" w:hint="cs"/>
          <w:rtl/>
        </w:rPr>
        <w:t>להלן:"</w:t>
      </w:r>
      <w:r w:rsidRPr="00E01E64">
        <w:rPr>
          <w:rFonts w:ascii="David" w:hAnsi="David" w:cs="David" w:hint="cs"/>
          <w:b/>
          <w:bCs/>
          <w:rtl/>
        </w:rPr>
        <w:t>מחלת</w:t>
      </w:r>
      <w:proofErr w:type="spellEnd"/>
      <w:r w:rsidRPr="00E01E64">
        <w:rPr>
          <w:rFonts w:ascii="David" w:hAnsi="David" w:cs="David" w:hint="cs"/>
          <w:b/>
          <w:bCs/>
          <w:rtl/>
        </w:rPr>
        <w:t xml:space="preserve"> הכליות/המחלה הכלייתית</w:t>
      </w:r>
      <w:r w:rsidRPr="00C30371">
        <w:rPr>
          <w:rFonts w:ascii="David" w:hAnsi="David" w:cs="David" w:hint="cs"/>
          <w:rtl/>
        </w:rPr>
        <w:t xml:space="preserve">"). </w:t>
      </w:r>
      <w:r w:rsidRPr="00E01E64">
        <w:rPr>
          <w:rFonts w:ascii="David" w:hAnsi="David" w:cs="David" w:hint="cs"/>
          <w:b/>
          <w:bCs/>
          <w:u w:val="single"/>
          <w:rtl/>
        </w:rPr>
        <w:t>מחלה הנגרמת, או לכל הפחות מתפרצת/מתלקחת, בין היתר</w:t>
      </w:r>
      <w:r w:rsidRPr="006D65CE">
        <w:rPr>
          <w:rFonts w:ascii="David" w:hAnsi="David" w:cs="David"/>
          <w:b/>
          <w:bCs/>
          <w:u w:val="single"/>
          <w:rtl/>
        </w:rPr>
        <w:t>, כתוצאה מזיהומים בדרכי הנשימה</w:t>
      </w:r>
      <w:r w:rsidRPr="006D65CE">
        <w:rPr>
          <w:rFonts w:ascii="David" w:hAnsi="David" w:cs="David"/>
          <w:rtl/>
        </w:rPr>
        <w:t>.</w:t>
      </w:r>
    </w:p>
    <w:p w14:paraId="1AAE56DB" w14:textId="77777777" w:rsidR="006D65CE" w:rsidRPr="006D65CE" w:rsidRDefault="006D65CE" w:rsidP="006D65CE">
      <w:pPr>
        <w:ind w:right="709"/>
      </w:pPr>
    </w:p>
    <w:p w14:paraId="32C47BD8" w14:textId="3BDC513C" w:rsidR="00E01E64" w:rsidRDefault="00E01E64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/>
        <w:jc w:val="both"/>
        <w:rPr>
          <w:rFonts w:ascii="David" w:hAnsi="David" w:cs="David"/>
        </w:rPr>
      </w:pPr>
      <w:r w:rsidRPr="00C30371">
        <w:rPr>
          <w:rFonts w:ascii="David" w:hAnsi="David" w:cs="David" w:hint="cs"/>
          <w:rtl/>
        </w:rPr>
        <w:t xml:space="preserve">האמור </w:t>
      </w:r>
      <w:r>
        <w:rPr>
          <w:rFonts w:ascii="David" w:hAnsi="David" w:cs="David" w:hint="cs"/>
          <w:rtl/>
        </w:rPr>
        <w:t>לעיל בדבר הקשר הסיבתי אינו</w:t>
      </w:r>
      <w:r w:rsidRPr="00C30371">
        <w:rPr>
          <w:rFonts w:ascii="David" w:hAnsi="David" w:cs="David" w:hint="cs"/>
          <w:rtl/>
        </w:rPr>
        <w:t xml:space="preserve"> דעה, אלא, </w:t>
      </w:r>
      <w:r w:rsidRPr="00E01E64">
        <w:rPr>
          <w:rFonts w:ascii="David" w:hAnsi="David" w:cs="David" w:hint="cs"/>
          <w:b/>
          <w:bCs/>
          <w:u w:val="single"/>
          <w:rtl/>
        </w:rPr>
        <w:t>עובדה</w:t>
      </w:r>
      <w:r w:rsidRPr="00C30371">
        <w:rPr>
          <w:rFonts w:ascii="David" w:hAnsi="David" w:cs="David" w:hint="cs"/>
          <w:rtl/>
        </w:rPr>
        <w:t xml:space="preserve"> אשר נקבעה לא אחת ע"י מומחי המשיב, ביניהם, ד"ר שטורך אשר ציין זאת מפורשות "עובדה שאין עליה ויכוח היא שזיהומים בדרכי נשימה עליונות יכולים להביא להתפרצות המחלה..." (עמ' 2 לחוות דעת המומחה מטעמו של המשיב, ד"ר שטורך, מתאריך 8/10/2017).</w:t>
      </w:r>
    </w:p>
    <w:p w14:paraId="58F20A97" w14:textId="77777777" w:rsidR="006D65CE" w:rsidRPr="006D65CE" w:rsidRDefault="006D65CE" w:rsidP="006D65CE">
      <w:pPr>
        <w:ind w:right="1440"/>
      </w:pPr>
    </w:p>
    <w:p w14:paraId="1DF71679" w14:textId="7E2B7F46" w:rsidR="00E01E64" w:rsidRDefault="00E01E64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/>
        <w:jc w:val="both"/>
        <w:rPr>
          <w:rFonts w:ascii="David" w:hAnsi="David" w:cs="David"/>
        </w:rPr>
      </w:pPr>
      <w:r w:rsidRPr="00C30371">
        <w:rPr>
          <w:rFonts w:ascii="David" w:hAnsi="David" w:cs="David" w:hint="cs"/>
          <w:rtl/>
        </w:rPr>
        <w:t xml:space="preserve">הקשר בין החמרה במחלת האסטמה נקבע כן בחוות דעת המומחה, פרופ' </w:t>
      </w:r>
      <w:proofErr w:type="spellStart"/>
      <w:r w:rsidRPr="00C30371">
        <w:rPr>
          <w:rFonts w:ascii="David" w:hAnsi="David" w:cs="David" w:hint="cs"/>
          <w:rtl/>
        </w:rPr>
        <w:t>פרוכטר</w:t>
      </w:r>
      <w:proofErr w:type="spellEnd"/>
      <w:r w:rsidRPr="00C30371">
        <w:rPr>
          <w:rFonts w:ascii="David" w:hAnsi="David" w:cs="David" w:hint="cs"/>
          <w:rtl/>
        </w:rPr>
        <w:t xml:space="preserve">, אשר התקבלה במלואה ע"י הוועדה הנכבדה. כאמור בנספחים שצורפו לחוות דעתו </w:t>
      </w:r>
      <w:r>
        <w:rPr>
          <w:rFonts w:ascii="David" w:hAnsi="David" w:cs="David" w:hint="cs"/>
          <w:rtl/>
        </w:rPr>
        <w:t>.</w:t>
      </w:r>
      <w:r w:rsidRPr="00C30371">
        <w:rPr>
          <w:rFonts w:ascii="David" w:hAnsi="David" w:cs="David" w:hint="cs"/>
          <w:rtl/>
        </w:rPr>
        <w:t>(העתקם מצ"ב).</w:t>
      </w:r>
    </w:p>
    <w:p w14:paraId="6CD66C9A" w14:textId="63A06785" w:rsidR="00E01E64" w:rsidRDefault="00E01E64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/>
        <w:jc w:val="both"/>
        <w:rPr>
          <w:rFonts w:ascii="David" w:hAnsi="David" w:cs="David"/>
        </w:rPr>
      </w:pPr>
      <w:r w:rsidRPr="00C30371">
        <w:rPr>
          <w:rFonts w:ascii="David" w:hAnsi="David" w:cs="David" w:hint="cs"/>
          <w:rtl/>
        </w:rPr>
        <w:lastRenderedPageBreak/>
        <w:t xml:space="preserve">עוד </w:t>
      </w:r>
      <w:proofErr w:type="spellStart"/>
      <w:r w:rsidRPr="00C30371">
        <w:rPr>
          <w:rFonts w:ascii="David" w:hAnsi="David" w:cs="David" w:hint="cs"/>
          <w:rtl/>
        </w:rPr>
        <w:t>יצויין</w:t>
      </w:r>
      <w:proofErr w:type="spellEnd"/>
      <w:r w:rsidRPr="00C30371">
        <w:rPr>
          <w:rFonts w:ascii="David" w:hAnsi="David" w:cs="David" w:hint="cs"/>
          <w:rtl/>
        </w:rPr>
        <w:t xml:space="preserve"> כי בהליך </w:t>
      </w:r>
      <w:r w:rsidR="006D65CE">
        <w:rPr>
          <w:rFonts w:ascii="David" w:hAnsi="David" w:cs="David" w:hint="cs"/>
          <w:rtl/>
        </w:rPr>
        <w:t>ע.א. 9635/06</w:t>
      </w:r>
      <w:r w:rsidRPr="00C30371">
        <w:rPr>
          <w:rFonts w:ascii="David" w:hAnsi="David" w:cs="David" w:hint="cs"/>
          <w:rtl/>
        </w:rPr>
        <w:t xml:space="preserve"> גרוסמן נ' קצין התגמולים </w:t>
      </w:r>
      <w:r w:rsidRPr="00C30371">
        <w:rPr>
          <w:rFonts w:ascii="David" w:hAnsi="David" w:cs="David"/>
          <w:rtl/>
        </w:rPr>
        <w:t>–</w:t>
      </w:r>
      <w:r w:rsidRPr="00C30371">
        <w:rPr>
          <w:rFonts w:ascii="David" w:hAnsi="David" w:cs="David" w:hint="cs"/>
          <w:rtl/>
        </w:rPr>
        <w:t xml:space="preserve"> </w:t>
      </w:r>
      <w:r w:rsidR="006D65CE">
        <w:rPr>
          <w:rFonts w:ascii="David" w:hAnsi="David" w:cs="David" w:hint="cs"/>
          <w:rtl/>
        </w:rPr>
        <w:t>ערעור</w:t>
      </w:r>
      <w:r w:rsidRPr="00C30371">
        <w:rPr>
          <w:rFonts w:ascii="David" w:hAnsi="David" w:cs="David" w:hint="cs"/>
          <w:rtl/>
        </w:rPr>
        <w:t xml:space="preserve"> </w:t>
      </w:r>
      <w:r w:rsidR="006D65CE">
        <w:rPr>
          <w:rFonts w:ascii="David" w:hAnsi="David" w:cs="David" w:hint="cs"/>
          <w:rtl/>
        </w:rPr>
        <w:t xml:space="preserve">שהוגש על פסק דינה של הוועדה הנכבדה בהליך ע.נ. 92/04, </w:t>
      </w:r>
      <w:r w:rsidRPr="00C30371">
        <w:rPr>
          <w:rFonts w:ascii="David" w:hAnsi="David" w:cs="David" w:hint="cs"/>
          <w:rtl/>
        </w:rPr>
        <w:t xml:space="preserve"> נקבע לאחר חוות דעת מומחה מטעמכם הקשר בין החמרת במחלת האסטמה לבין התפרצות המחלה הכלייתית</w:t>
      </w:r>
      <w:r w:rsidR="006D65CE">
        <w:rPr>
          <w:rFonts w:ascii="David" w:hAnsi="David" w:cs="David" w:hint="cs"/>
          <w:rtl/>
        </w:rPr>
        <w:t xml:space="preserve"> והמערער (שם) הוכר כנכה גם בגין פגימה זו.</w:t>
      </w:r>
    </w:p>
    <w:p w14:paraId="66E577C2" w14:textId="77777777" w:rsidR="006D65CE" w:rsidRPr="00C30371" w:rsidRDefault="006D65CE" w:rsidP="006D65CE">
      <w:pPr>
        <w:pStyle w:val="aa"/>
        <w:bidi/>
        <w:spacing w:line="360" w:lineRule="auto"/>
        <w:ind w:left="565" w:right="709"/>
        <w:jc w:val="both"/>
        <w:rPr>
          <w:rFonts w:ascii="David" w:hAnsi="David" w:cs="David"/>
          <w:rtl/>
        </w:rPr>
      </w:pPr>
    </w:p>
    <w:p w14:paraId="79114368" w14:textId="77777777" w:rsidR="00E01E64" w:rsidRDefault="00E01E64" w:rsidP="006D65CE">
      <w:pPr>
        <w:pStyle w:val="aa"/>
        <w:numPr>
          <w:ilvl w:val="0"/>
          <w:numId w:val="2"/>
        </w:numPr>
        <w:tabs>
          <w:tab w:val="clear" w:pos="1440"/>
        </w:tabs>
        <w:bidi/>
        <w:spacing w:line="360" w:lineRule="auto"/>
        <w:ind w:left="565" w:right="709"/>
        <w:jc w:val="both"/>
        <w:rPr>
          <w:rFonts w:ascii="David" w:hAnsi="David" w:cs="David"/>
        </w:rPr>
      </w:pPr>
      <w:r w:rsidRPr="00C30371">
        <w:rPr>
          <w:rFonts w:ascii="David" w:hAnsi="David" w:cs="David" w:hint="cs"/>
          <w:rtl/>
        </w:rPr>
        <w:t>בשים לב לאמור הנכם מתבקשים לקבל תביעת מרשי ולהכיר במחלה הכלייתית כנכות שנגרמה כתוצאה מנכותו הנובעת משירותו בהתאם להוראות תקנה 9.</w:t>
      </w:r>
    </w:p>
    <w:p w14:paraId="6E8E9332" w14:textId="77777777" w:rsidR="006D65CE" w:rsidRPr="006D65CE" w:rsidRDefault="006D65CE" w:rsidP="006D65CE">
      <w:pPr>
        <w:pStyle w:val="aa"/>
        <w:rPr>
          <w:rFonts w:ascii="David" w:hAnsi="David" w:cs="David" w:hint="cs"/>
          <w:rtl/>
        </w:rPr>
      </w:pPr>
    </w:p>
    <w:p w14:paraId="30274BAA" w14:textId="77777777" w:rsidR="006D65CE" w:rsidRPr="00C30371" w:rsidRDefault="006D65CE" w:rsidP="006D65CE">
      <w:pPr>
        <w:pStyle w:val="aa"/>
        <w:bidi/>
        <w:spacing w:line="360" w:lineRule="auto"/>
        <w:ind w:left="565" w:right="709"/>
        <w:jc w:val="both"/>
        <w:rPr>
          <w:rFonts w:ascii="David" w:hAnsi="David" w:cs="David"/>
          <w:rtl/>
        </w:rPr>
      </w:pPr>
    </w:p>
    <w:p w14:paraId="295AE935" w14:textId="2C5B522B" w:rsidR="000D48B3" w:rsidRDefault="000D48B3" w:rsidP="006D65CE">
      <w:pPr>
        <w:numPr>
          <w:ilvl w:val="0"/>
          <w:numId w:val="2"/>
        </w:numPr>
        <w:tabs>
          <w:tab w:val="clear" w:pos="1440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</w:t>
      </w:r>
      <w:r w:rsidR="006D65CE">
        <w:rPr>
          <w:rFonts w:hint="cs"/>
          <w:sz w:val="26"/>
          <w:szCs w:val="26"/>
          <w:rtl/>
        </w:rPr>
        <w:t>אודה</w:t>
      </w:r>
      <w:r>
        <w:rPr>
          <w:rFonts w:hint="cs"/>
          <w:sz w:val="26"/>
          <w:szCs w:val="26"/>
          <w:rtl/>
        </w:rPr>
        <w:t>.</w:t>
      </w: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5A2ECC43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6734FAC7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7DF3859A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EF9E" w14:textId="77777777" w:rsidR="006D65CE" w:rsidRDefault="006D65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B6BA8" w14:textId="77777777" w:rsidR="006D65CE" w:rsidRDefault="006D65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7885" w14:textId="77777777" w:rsidR="006D65CE" w:rsidRDefault="006D65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7FDEA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E3D29">
            <w:rPr>
              <w:noProof/>
              <w:rtl/>
            </w:rPr>
            <w:t>‏2</w:t>
          </w:r>
          <w:r w:rsidR="006D65CE">
            <w:rPr>
              <w:rFonts w:hint="cs"/>
              <w:noProof/>
              <w:rtl/>
            </w:rPr>
            <w:t>1</w:t>
          </w:r>
          <w:r w:rsidR="004E3D29">
            <w:rPr>
              <w:noProof/>
              <w:rtl/>
            </w:rPr>
            <w:t xml:space="preserve">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D48B3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54360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80FBC"/>
    <w:rsid w:val="003C265A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E3D29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5103F"/>
    <w:rsid w:val="00674105"/>
    <w:rsid w:val="0068411F"/>
    <w:rsid w:val="006D65CE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43EA3"/>
    <w:rsid w:val="00884243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96058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01E64"/>
    <w:rsid w:val="00E11AA7"/>
    <w:rsid w:val="00E41909"/>
    <w:rsid w:val="00E54B14"/>
    <w:rsid w:val="00E63F05"/>
    <w:rsid w:val="00E72787"/>
    <w:rsid w:val="00E728DA"/>
    <w:rsid w:val="00E771BD"/>
    <w:rsid w:val="00E964B7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2025-07-27T09:07:00Z</dcterms:created>
  <dcterms:modified xsi:type="dcterms:W3CDTF">2025-07-27T09:33:00Z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1022218</vt:lpwstr>
  </property>
</Properties>
</file>