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7EA3DA80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0E7FD4">
        <w:rPr>
          <w:rFonts w:cs="David" w:hint="cs"/>
          <w:spacing w:val="12"/>
          <w:sz w:val="26"/>
          <w:szCs w:val="26"/>
          <w:rtl/>
        </w:rPr>
        <w:t>8.7.25</w:t>
      </w:r>
    </w:p>
    <w:p w14:paraId="0243AFE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676360">
          <w:rPr>
            <w:rStyle w:val="Hyperlink"/>
            <w:rFonts w:cs="David"/>
            <w:color w:val="auto"/>
            <w:sz w:val="26"/>
            <w:szCs w:val="26"/>
            <w:u w:val="none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31E536C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0E7FD4">
        <w:rPr>
          <w:rFonts w:cs="David" w:hint="cs"/>
          <w:spacing w:val="12"/>
          <w:sz w:val="26"/>
          <w:szCs w:val="26"/>
          <w:rtl/>
        </w:rPr>
        <w:t xml:space="preserve">הנתבעות 1 -3 באמצעות ב"כ עו"ד מורן </w:t>
      </w:r>
      <w:proofErr w:type="spellStart"/>
      <w:r w:rsidR="000E7FD4">
        <w:rPr>
          <w:rFonts w:cs="David" w:hint="cs"/>
          <w:spacing w:val="12"/>
          <w:sz w:val="26"/>
          <w:szCs w:val="26"/>
          <w:rtl/>
        </w:rPr>
        <w:t>לייבה</w:t>
      </w:r>
      <w:proofErr w:type="spellEnd"/>
    </w:p>
    <w:p w14:paraId="103114ED" w14:textId="41733933" w:rsidR="000E7FD4" w:rsidRDefault="000E7FD4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ממשרד עו"ד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נשיץ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ברנדס</w:t>
      </w:r>
      <w:proofErr w:type="spellEnd"/>
      <w:r>
        <w:rPr>
          <w:rFonts w:cs="David" w:hint="cs"/>
          <w:spacing w:val="12"/>
          <w:sz w:val="26"/>
          <w:szCs w:val="26"/>
          <w:rtl/>
        </w:rPr>
        <w:t>, אמיר ושות'</w:t>
      </w:r>
    </w:p>
    <w:p w14:paraId="4323408E" w14:textId="7C66293F" w:rsidR="000E7FD4" w:rsidRDefault="000E7FD4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תובל 5, תל אביב 67897</w:t>
      </w:r>
    </w:p>
    <w:p w14:paraId="20454437" w14:textId="76496047" w:rsidR="000E7FD4" w:rsidRDefault="000E7FD4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טל': 03-6235000;פקס: 03-6235005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0614911F" w:rsidR="005A45D8" w:rsidRPr="004665BB" w:rsidRDefault="007A6F70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>בקשה</w:t>
      </w:r>
      <w:r w:rsidR="004665BB"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למתן פסק דין </w:t>
      </w:r>
      <w:r w:rsidR="000E7FD4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מותנה בהיעדר </w:t>
      </w:r>
      <w:r w:rsidR="0024145D">
        <w:rPr>
          <w:rFonts w:cs="David" w:hint="cs"/>
          <w:b/>
          <w:bCs/>
          <w:noProof/>
          <w:sz w:val="32"/>
          <w:szCs w:val="32"/>
          <w:u w:val="single"/>
          <w:rtl/>
        </w:rPr>
        <w:t>הגנה</w:t>
      </w:r>
    </w:p>
    <w:p w14:paraId="798CE7BB" w14:textId="6A621632" w:rsidR="009F1617" w:rsidRPr="003541A2" w:rsidRDefault="00FC4CB8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rtl/>
        </w:rPr>
      </w:pPr>
      <w:r>
        <w:rPr>
          <w:rFonts w:cs="David" w:hint="cs"/>
          <w:b/>
          <w:bCs/>
          <w:noProof/>
          <w:sz w:val="26"/>
          <w:szCs w:val="26"/>
          <w:rtl/>
        </w:rPr>
        <w:t>התובע מתכבד לפנות לבית המשפט הנכבד ולבקש כדלקמן:</w:t>
      </w:r>
    </w:p>
    <w:p w14:paraId="48ADF633" w14:textId="709B8092" w:rsidR="00211367" w:rsidRDefault="005C0896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 xml:space="preserve">בפתח הדברים יבקש התובע להביע התנצלותו </w:t>
      </w:r>
      <w:r w:rsidR="00814DCB">
        <w:rPr>
          <w:rFonts w:cs="David" w:hint="cs"/>
          <w:noProof/>
          <w:sz w:val="26"/>
          <w:szCs w:val="26"/>
          <w:rtl/>
        </w:rPr>
        <w:t xml:space="preserve">על כך שבקשה זו מוגשת זה עתה ולא </w:t>
      </w:r>
      <w:r w:rsidR="00DF570F">
        <w:rPr>
          <w:rFonts w:cs="David" w:hint="cs"/>
          <w:noProof/>
          <w:sz w:val="26"/>
          <w:szCs w:val="26"/>
          <w:rtl/>
        </w:rPr>
        <w:t>קודם</w:t>
      </w:r>
      <w:r w:rsidR="00814DCB">
        <w:rPr>
          <w:rFonts w:cs="David" w:hint="cs"/>
          <w:noProof/>
          <w:sz w:val="26"/>
          <w:szCs w:val="26"/>
          <w:rtl/>
        </w:rPr>
        <w:t xml:space="preserve"> </w:t>
      </w:r>
      <w:r w:rsidR="00DF570F">
        <w:rPr>
          <w:rFonts w:cs="David" w:hint="cs"/>
          <w:noProof/>
          <w:sz w:val="26"/>
          <w:szCs w:val="26"/>
          <w:rtl/>
        </w:rPr>
        <w:t>ל</w:t>
      </w:r>
      <w:r w:rsidR="00814DCB">
        <w:rPr>
          <w:rFonts w:cs="David" w:hint="cs"/>
          <w:noProof/>
          <w:sz w:val="26"/>
          <w:szCs w:val="26"/>
          <w:rtl/>
        </w:rPr>
        <w:t>כן, הדבר נובע מנסיבות אישיות הקשורות בח"מ ומהמצב ששרר.</w:t>
      </w:r>
    </w:p>
    <w:p w14:paraId="693D7D2C" w14:textId="1B2A8854" w:rsidR="00814DCB" w:rsidRDefault="00814DCB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בזיקה להחלטת בית המשפט הנכבד מתאריך 4.6.25, בשים לב לכך ש</w:t>
      </w:r>
      <w:r w:rsidR="00DF570F">
        <w:rPr>
          <w:rFonts w:cs="David" w:hint="cs"/>
          <w:noProof/>
          <w:sz w:val="26"/>
          <w:szCs w:val="26"/>
          <w:rtl/>
        </w:rPr>
        <w:t>ט</w:t>
      </w:r>
      <w:r>
        <w:rPr>
          <w:rFonts w:cs="David" w:hint="cs"/>
          <w:noProof/>
          <w:sz w:val="26"/>
          <w:szCs w:val="26"/>
          <w:rtl/>
        </w:rPr>
        <w:t xml:space="preserve">רם הוגש כתב הגנה/חוות דעת ע"י הנתבעים הנוספים אשר מיוצגים </w:t>
      </w:r>
      <w:r w:rsidR="00DF570F">
        <w:rPr>
          <w:rFonts w:cs="David" w:hint="cs"/>
          <w:noProof/>
          <w:sz w:val="26"/>
          <w:szCs w:val="26"/>
          <w:rtl/>
        </w:rPr>
        <w:t>וניתנה להם ארכה</w:t>
      </w:r>
      <w:r w:rsidR="001D6881">
        <w:rPr>
          <w:rFonts w:cs="David" w:hint="cs"/>
          <w:noProof/>
          <w:sz w:val="26"/>
          <w:szCs w:val="26"/>
          <w:rtl/>
        </w:rPr>
        <w:t xml:space="preserve"> להגשת הגנה.</w:t>
      </w:r>
    </w:p>
    <w:p w14:paraId="14AD8C07" w14:textId="77777777" w:rsidR="00DF570F" w:rsidRDefault="00814DCB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וכן, לאור הספק האם יש טעם כלכלי</w:t>
      </w:r>
      <w:r w:rsidR="00DF570F">
        <w:rPr>
          <w:rFonts w:cs="David" w:hint="cs"/>
          <w:noProof/>
          <w:sz w:val="26"/>
          <w:szCs w:val="26"/>
          <w:rtl/>
        </w:rPr>
        <w:t>,</w:t>
      </w:r>
      <w:r>
        <w:rPr>
          <w:rFonts w:cs="David" w:hint="cs"/>
          <w:noProof/>
          <w:sz w:val="26"/>
          <w:szCs w:val="26"/>
          <w:rtl/>
        </w:rPr>
        <w:t xml:space="preserve"> בשלב זה</w:t>
      </w:r>
      <w:r w:rsidR="00DF570F">
        <w:rPr>
          <w:rFonts w:cs="David" w:hint="cs"/>
          <w:noProof/>
          <w:sz w:val="26"/>
          <w:szCs w:val="26"/>
          <w:rtl/>
        </w:rPr>
        <w:t>,</w:t>
      </w:r>
      <w:r>
        <w:rPr>
          <w:rFonts w:cs="David" w:hint="cs"/>
          <w:noProof/>
          <w:sz w:val="26"/>
          <w:szCs w:val="26"/>
          <w:rtl/>
        </w:rPr>
        <w:t xml:space="preserve"> לנהל הליכי הוצל"פ נגד נתבע 2 שלא התגונן כאמור, כאשר ממילא הנתבעים 1 -</w:t>
      </w:r>
      <w:r w:rsidR="00DF570F">
        <w:rPr>
          <w:rFonts w:cs="David" w:hint="cs"/>
          <w:noProof/>
          <w:sz w:val="26"/>
          <w:szCs w:val="26"/>
          <w:rtl/>
        </w:rPr>
        <w:t xml:space="preserve"> </w:t>
      </w:r>
      <w:r>
        <w:rPr>
          <w:rFonts w:cs="David" w:hint="cs"/>
          <w:noProof/>
          <w:sz w:val="26"/>
          <w:szCs w:val="26"/>
          <w:rtl/>
        </w:rPr>
        <w:t>3 סולבנטיים, מיוצגים</w:t>
      </w:r>
      <w:r w:rsidR="00DF570F">
        <w:rPr>
          <w:rFonts w:cs="David" w:hint="cs"/>
          <w:noProof/>
          <w:sz w:val="26"/>
          <w:szCs w:val="26"/>
          <w:rtl/>
        </w:rPr>
        <w:t>,</w:t>
      </w:r>
      <w:r>
        <w:rPr>
          <w:rFonts w:cs="David" w:hint="cs"/>
          <w:noProof/>
          <w:sz w:val="26"/>
          <w:szCs w:val="26"/>
          <w:rtl/>
        </w:rPr>
        <w:t xml:space="preserve"> וביקשו ארכה והאחריות כלפי התובע</w:t>
      </w:r>
      <w:r w:rsidR="00DF570F">
        <w:rPr>
          <w:rFonts w:cs="David" w:hint="cs"/>
          <w:noProof/>
          <w:sz w:val="26"/>
          <w:szCs w:val="26"/>
          <w:rtl/>
        </w:rPr>
        <w:t>,</w:t>
      </w:r>
      <w:r>
        <w:rPr>
          <w:rFonts w:cs="David" w:hint="cs"/>
          <w:noProof/>
          <w:sz w:val="26"/>
          <w:szCs w:val="26"/>
          <w:rtl/>
        </w:rPr>
        <w:t xml:space="preserve"> ממילא</w:t>
      </w:r>
      <w:r w:rsidR="00DF570F">
        <w:rPr>
          <w:rFonts w:cs="David" w:hint="cs"/>
          <w:noProof/>
          <w:sz w:val="26"/>
          <w:szCs w:val="26"/>
          <w:rtl/>
        </w:rPr>
        <w:t>,</w:t>
      </w:r>
      <w:r>
        <w:rPr>
          <w:rFonts w:cs="David" w:hint="cs"/>
          <w:noProof/>
          <w:sz w:val="26"/>
          <w:szCs w:val="26"/>
          <w:rtl/>
        </w:rPr>
        <w:t xml:space="preserve"> ביחד ולחוד ביחס לנזק במלואו</w:t>
      </w:r>
      <w:r w:rsidR="00DF570F">
        <w:rPr>
          <w:rFonts w:cs="David" w:hint="cs"/>
          <w:noProof/>
          <w:sz w:val="26"/>
          <w:szCs w:val="26"/>
          <w:rtl/>
        </w:rPr>
        <w:t>.</w:t>
      </w:r>
    </w:p>
    <w:p w14:paraId="37301BF7" w14:textId="169CAA47" w:rsidR="00814DCB" w:rsidRDefault="00DF570F" w:rsidP="001D6881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right="-284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lastRenderedPageBreak/>
        <w:t>בשים לב לאמור, על מנת לייתר הצורך במתן החלטה המתבססת  על</w:t>
      </w:r>
      <w:r w:rsidR="00814DCB">
        <w:rPr>
          <w:rFonts w:cs="David" w:hint="cs"/>
          <w:noProof/>
          <w:sz w:val="26"/>
          <w:szCs w:val="26"/>
          <w:rtl/>
        </w:rPr>
        <w:t xml:space="preserve"> ראיות מפורטות בדבר גובה הנזק </w:t>
      </w:r>
      <w:r>
        <w:rPr>
          <w:rFonts w:cs="David" w:hint="cs"/>
          <w:noProof/>
          <w:sz w:val="26"/>
          <w:szCs w:val="26"/>
          <w:rtl/>
        </w:rPr>
        <w:t xml:space="preserve">בשלב מוקדם של ההליך, </w:t>
      </w:r>
      <w:r w:rsidR="00814DCB">
        <w:rPr>
          <w:rFonts w:cs="David" w:hint="cs"/>
          <w:noProof/>
          <w:sz w:val="26"/>
          <w:szCs w:val="26"/>
          <w:rtl/>
        </w:rPr>
        <w:t>התובע יסתפק, בשלב זה</w:t>
      </w:r>
      <w:r>
        <w:rPr>
          <w:rFonts w:cs="David" w:hint="cs"/>
          <w:noProof/>
          <w:sz w:val="26"/>
          <w:szCs w:val="26"/>
          <w:rtl/>
        </w:rPr>
        <w:t>,</w:t>
      </w:r>
      <w:r w:rsidR="00814DCB">
        <w:rPr>
          <w:rFonts w:cs="David" w:hint="cs"/>
          <w:noProof/>
          <w:sz w:val="26"/>
          <w:szCs w:val="26"/>
          <w:rtl/>
        </w:rPr>
        <w:t xml:space="preserve"> בפסק דין מותנה כנגד הנתבע 2 ולפיו יקבע כי חב הוא במלוא התביעה בהתאם לשיעור הנזק שיקבע בפסק דין לכשינתן.</w:t>
      </w:r>
    </w:p>
    <w:p w14:paraId="21779409" w14:textId="1C261DD1" w:rsidR="00814DCB" w:rsidRDefault="00DF570F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 xml:space="preserve">התובע יוסיף ויטען כי קבלת הבקשה ומתן פסק דין מותנה תחסוך את הצורך לדון בשיעור הנזק פעמיים. והדבר יתברר במסגרת ההליך בהתאם למה שיקבע ביחסים בין התובע לבין הנתבעים 1 </w:t>
      </w:r>
      <w:r>
        <w:rPr>
          <w:rFonts w:cs="David"/>
          <w:noProof/>
          <w:sz w:val="26"/>
          <w:szCs w:val="26"/>
          <w:rtl/>
        </w:rPr>
        <w:t>–</w:t>
      </w:r>
      <w:r>
        <w:rPr>
          <w:rFonts w:cs="David" w:hint="cs"/>
          <w:noProof/>
          <w:sz w:val="26"/>
          <w:szCs w:val="26"/>
          <w:rtl/>
        </w:rPr>
        <w:t xml:space="preserve"> 3.</w:t>
      </w:r>
    </w:p>
    <w:p w14:paraId="68103ED5" w14:textId="3802F2B1" w:rsidR="00DF570F" w:rsidRDefault="00DF570F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לאור המפורט לעיל מתבקש בית המשפט הנכבד ליתן החלטה, חרף החלטתו מתאריך 4.6.25 וליתן פסק דין מותנה כנגד הנתבע 2 בהיעדר הגנה.</w:t>
      </w:r>
    </w:p>
    <w:p w14:paraId="2982C513" w14:textId="700C5CB4" w:rsidR="00BD52A1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C2FC485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051CB97E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6345FCA3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5304313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11186413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4B5AFA31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4AAD88AA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61CA1A14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E420CF6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66956375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D9DADC6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161FBA65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AC6E1E9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599C1D53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75AF9ADF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4F4C2567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3A929B91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74812FA9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112F9C98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42D1368E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39854D0F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3325BA0F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71BD3B48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019E1305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1181BFD5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380F2C1" w14:textId="77777777" w:rsidR="00DF570F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4B1FB0DC" w14:textId="77777777" w:rsidR="00DF570F" w:rsidRPr="005A45D8" w:rsidRDefault="00DF570F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A762AB5" w14:textId="7251080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29AE60DE" w14:textId="21C6FA98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698859CE" w14:textId="2EEA23B5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6768917F" w14:textId="31A29E90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6A9C398" w14:textId="79C16A6B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C1C80A9" w14:textId="3C809B8D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2CDC46FE" w14:textId="199C3EC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1A218DEC" w14:textId="144E559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1C36B7A2" w14:textId="7A2F8EA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D807D7B" w14:textId="155A7EE0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BC20AC7" w14:textId="6E243EFE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F919A25" w14:textId="0FD371A9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3DBC0961" w14:textId="71C0B5C9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90AE146" w14:textId="0170FAA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6"/>
  </w:num>
  <w:num w:numId="2" w16cid:durableId="1918518151">
    <w:abstractNumId w:val="3"/>
  </w:num>
  <w:num w:numId="3" w16cid:durableId="1270694956">
    <w:abstractNumId w:val="4"/>
  </w:num>
  <w:num w:numId="4" w16cid:durableId="911936480">
    <w:abstractNumId w:val="1"/>
  </w:num>
  <w:num w:numId="5" w16cid:durableId="1992630844">
    <w:abstractNumId w:val="0"/>
  </w:num>
  <w:num w:numId="6" w16cid:durableId="574554470">
    <w:abstractNumId w:val="2"/>
  </w:num>
  <w:num w:numId="7" w16cid:durableId="5565989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E7FD4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D6881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145D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E5E85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89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6360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14DCB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0A4F"/>
    <w:rsid w:val="008F4507"/>
    <w:rsid w:val="008F5E78"/>
    <w:rsid w:val="008F700F"/>
    <w:rsid w:val="009017AF"/>
    <w:rsid w:val="00912BFC"/>
    <w:rsid w:val="00915C37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1BC5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4027"/>
    <w:rsid w:val="00C568FA"/>
    <w:rsid w:val="00C60ED7"/>
    <w:rsid w:val="00C6165C"/>
    <w:rsid w:val="00C61DCA"/>
    <w:rsid w:val="00C62CD9"/>
    <w:rsid w:val="00C70BC4"/>
    <w:rsid w:val="00C73C9C"/>
    <w:rsid w:val="00C75021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570F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4CB8"/>
    <w:rsid w:val="00FC559D"/>
    <w:rsid w:val="00FD3632"/>
    <w:rsid w:val="00FD38B9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333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5</cp:revision>
  <cp:lastPrinted>2023-02-16T10:19:00Z</cp:lastPrinted>
  <dcterms:created xsi:type="dcterms:W3CDTF">2025-07-08T13:28:00Z</dcterms:created>
  <dcterms:modified xsi:type="dcterms:W3CDTF">2025-07-08T14:54:00Z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1021854</vt:lpwstr>
  </property>
</Properties>
</file>