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F1F1A" w14:textId="1A66CB69" w:rsidR="004F4FFE" w:rsidRPr="005148C3" w:rsidRDefault="004F4FFE" w:rsidP="004F4FFE">
      <w:pPr>
        <w:spacing w:line="360" w:lineRule="auto"/>
        <w:ind w:left="360"/>
        <w:jc w:val="both"/>
        <w:rPr>
          <w:b/>
          <w:bCs/>
          <w:u w:val="single"/>
          <w:rtl/>
        </w:rPr>
      </w:pPr>
      <w:r w:rsidRPr="005148C3">
        <w:rPr>
          <w:rFonts w:hint="cs"/>
          <w:b/>
          <w:bCs/>
          <w:u w:val="single"/>
          <w:rtl/>
        </w:rPr>
        <w:t>מהו אירוע חריג:</w:t>
      </w:r>
    </w:p>
    <w:p w14:paraId="409121E3" w14:textId="77777777" w:rsidR="004F4FFE" w:rsidRDefault="004F4FFE" w:rsidP="004F4FFE">
      <w:pPr>
        <w:pStyle w:val="a9"/>
        <w:spacing w:line="360" w:lineRule="auto"/>
        <w:ind w:left="368"/>
        <w:jc w:val="both"/>
        <w:rPr>
          <w:rFonts w:ascii="David" w:hAnsi="David"/>
          <w:rtl/>
        </w:rPr>
      </w:pPr>
      <w:r w:rsidRPr="00372B6F">
        <w:rPr>
          <w:rFonts w:ascii="David" w:hAnsi="David"/>
          <w:b/>
          <w:bCs/>
          <w:rtl/>
        </w:rPr>
        <w:t>יש להוכיח קיומו של אירוע חריג בעבודה שהינו בלתי שגרתי לעובד אשר התרחש עובר לקרות אירוע הפגיעה הגופנית. מדובר באירוע אשר יכלול הפעלת מאמץ פיזי מיוחד, דחק נפשי, מתח או התרגזות יוצאת דופן שהעובד אינו מורגל בה בעבודת היום יום שלו</w:t>
      </w:r>
      <w:r w:rsidRPr="00372B6F">
        <w:rPr>
          <w:rFonts w:ascii="David" w:hAnsi="David"/>
          <w:rtl/>
        </w:rPr>
        <w:t>" (</w:t>
      </w:r>
      <w:hyperlink r:id="rId7" w:history="1">
        <w:r w:rsidRPr="00380E34">
          <w:rPr>
            <w:rFonts w:ascii="David" w:hAnsi="David"/>
            <w:color w:val="0000FF"/>
            <w:u w:val="single"/>
            <w:rtl/>
          </w:rPr>
          <w:t>עב"ל 24894-10-21</w:t>
        </w:r>
      </w:hyperlink>
      <w:r w:rsidRPr="00372B6F">
        <w:rPr>
          <w:rFonts w:ascii="David" w:hAnsi="David"/>
          <w:rtl/>
        </w:rPr>
        <w:t xml:space="preserve"> </w:t>
      </w:r>
      <w:r w:rsidRPr="00372B6F">
        <w:rPr>
          <w:rFonts w:ascii="David" w:hAnsi="David"/>
          <w:b/>
          <w:bCs/>
          <w:rtl/>
        </w:rPr>
        <w:t>עובד גוהר - המוסד לביטוח לאומי</w:t>
      </w:r>
      <w:r w:rsidRPr="00372B6F">
        <w:rPr>
          <w:rFonts w:ascii="David" w:hAnsi="David"/>
          <w:rtl/>
        </w:rPr>
        <w:t xml:space="preserve"> (מיום 15.6.2022); </w:t>
      </w:r>
      <w:hyperlink r:id="rId8" w:history="1">
        <w:r w:rsidRPr="00380E34">
          <w:rPr>
            <w:rFonts w:ascii="David" w:hAnsi="David"/>
            <w:color w:val="0000FF"/>
            <w:u w:val="single"/>
            <w:rtl/>
          </w:rPr>
          <w:t>עב"ל 32691-06-10</w:t>
        </w:r>
      </w:hyperlink>
      <w:r w:rsidRPr="00372B6F">
        <w:rPr>
          <w:rFonts w:ascii="David" w:hAnsi="David"/>
          <w:rtl/>
        </w:rPr>
        <w:t xml:space="preserve"> </w:t>
      </w:r>
      <w:r w:rsidRPr="00372B6F">
        <w:rPr>
          <w:rFonts w:ascii="David" w:hAnsi="David"/>
          <w:b/>
          <w:bCs/>
          <w:rtl/>
        </w:rPr>
        <w:t xml:space="preserve">אליהו דהן - המוסד לביטוח לאומי </w:t>
      </w:r>
      <w:r w:rsidRPr="00372B6F">
        <w:rPr>
          <w:rFonts w:ascii="David" w:hAnsi="David"/>
          <w:rtl/>
        </w:rPr>
        <w:t>(מיום 19.6.2012)).</w:t>
      </w:r>
    </w:p>
    <w:p w14:paraId="140B7BBF" w14:textId="77777777" w:rsidR="006C6D7C" w:rsidRDefault="006C6D7C" w:rsidP="004F4FFE">
      <w:pPr>
        <w:pStyle w:val="a9"/>
        <w:spacing w:line="360" w:lineRule="auto"/>
        <w:ind w:left="368"/>
        <w:jc w:val="both"/>
        <w:rPr>
          <w:rFonts w:ascii="David" w:hAnsi="David"/>
          <w:rtl/>
        </w:rPr>
      </w:pPr>
    </w:p>
    <w:p w14:paraId="45647CA3" w14:textId="77777777" w:rsidR="006C6D7C" w:rsidRDefault="006C6D7C" w:rsidP="006C6D7C">
      <w:pPr>
        <w:pStyle w:val="a9"/>
        <w:spacing w:line="360" w:lineRule="auto"/>
        <w:ind w:left="368"/>
        <w:jc w:val="both"/>
        <w:rPr>
          <w:rFonts w:ascii="David" w:hAnsi="David"/>
          <w:rtl/>
        </w:rPr>
      </w:pPr>
      <w:r w:rsidRPr="00372B6F">
        <w:rPr>
          <w:rFonts w:ascii="David" w:hAnsi="David"/>
          <w:rtl/>
        </w:rPr>
        <w:t>עוד נפסק, כי חריגותו של אירוע נבחנת באופן סובייקטיבי ביחס למבוטח הספציפי, כך שגם אם סביר להניח כי אירוע מסוים לא יחווה על ידי רוב אנשים כחריג, אין בכך כדי לשלול את האפשרות כי מבחינת המבוטח הספציפי אותו אירוע יהווה אירוע חריג. עם זאת, גרסתו של המבוטח צריכה להיבחן גם בשים לב לראיות אובייקטיביות שקיימות או נעדרות לצורך הערכת גרסת המבוטח (</w:t>
      </w:r>
      <w:hyperlink r:id="rId9" w:history="1">
        <w:r w:rsidRPr="00380E34">
          <w:rPr>
            <w:rFonts w:ascii="David" w:hAnsi="David"/>
            <w:color w:val="0000FF"/>
            <w:u w:val="single"/>
            <w:rtl/>
          </w:rPr>
          <w:t>עב"ל 18610-05-16</w:t>
        </w:r>
      </w:hyperlink>
      <w:r w:rsidRPr="00372B6F">
        <w:rPr>
          <w:rFonts w:ascii="David" w:hAnsi="David"/>
          <w:rtl/>
        </w:rPr>
        <w:t xml:space="preserve"> </w:t>
      </w:r>
      <w:r w:rsidRPr="00372B6F">
        <w:rPr>
          <w:rFonts w:ascii="David" w:hAnsi="David"/>
          <w:b/>
          <w:bCs/>
          <w:rtl/>
        </w:rPr>
        <w:t>משה סידי - המוסד לביטוח לאומי</w:t>
      </w:r>
      <w:r w:rsidRPr="00372B6F">
        <w:rPr>
          <w:rFonts w:ascii="David" w:hAnsi="David"/>
          <w:rtl/>
        </w:rPr>
        <w:t xml:space="preserve"> (מיום 19.9.2017)). </w:t>
      </w:r>
      <w:r w:rsidRPr="00433B08">
        <w:rPr>
          <w:rFonts w:ascii="David" w:hAnsi="David"/>
          <w:b/>
          <w:bCs/>
          <w:sz w:val="28"/>
          <w:szCs w:val="28"/>
          <w:rtl/>
        </w:rPr>
        <w:t>אם קיים ספק בדבר חריגות האירוע, יש למנות מומחה יועץ רפואי, על מנת שלא לנעול את דלתות בית הדין בפני המבוטח על הסף</w:t>
      </w:r>
      <w:r w:rsidRPr="00372B6F">
        <w:rPr>
          <w:rFonts w:ascii="David" w:hAnsi="David"/>
          <w:rtl/>
        </w:rPr>
        <w:t>, בטרם יבחן המומחה את שאלת הקשר הסיבתי בין האירוע בעבודה ובין הפגיעה הגופנית בה לקה המבוטח (</w:t>
      </w:r>
      <w:hyperlink r:id="rId10" w:history="1">
        <w:r w:rsidRPr="00380E34">
          <w:rPr>
            <w:rFonts w:ascii="David" w:hAnsi="David"/>
            <w:color w:val="0000FF"/>
            <w:u w:val="single"/>
            <w:rtl/>
          </w:rPr>
          <w:t>עב"ל 27065-05-15</w:t>
        </w:r>
      </w:hyperlink>
      <w:r w:rsidRPr="00372B6F">
        <w:rPr>
          <w:rFonts w:ascii="David" w:hAnsi="David"/>
          <w:rtl/>
        </w:rPr>
        <w:t xml:space="preserve"> </w:t>
      </w:r>
      <w:r w:rsidRPr="00372B6F">
        <w:rPr>
          <w:rFonts w:ascii="David" w:hAnsi="David"/>
          <w:b/>
          <w:bCs/>
          <w:rtl/>
        </w:rPr>
        <w:t xml:space="preserve">מישה </w:t>
      </w:r>
      <w:proofErr w:type="spellStart"/>
      <w:r w:rsidRPr="00372B6F">
        <w:rPr>
          <w:rFonts w:ascii="David" w:hAnsi="David"/>
          <w:b/>
          <w:bCs/>
          <w:rtl/>
        </w:rPr>
        <w:t>ציונוב</w:t>
      </w:r>
      <w:proofErr w:type="spellEnd"/>
      <w:r w:rsidRPr="00372B6F">
        <w:rPr>
          <w:rFonts w:ascii="David" w:hAnsi="David"/>
          <w:b/>
          <w:bCs/>
          <w:rtl/>
        </w:rPr>
        <w:t xml:space="preserve"> - המוסד לביטוח לאומי</w:t>
      </w:r>
      <w:r w:rsidRPr="00372B6F">
        <w:rPr>
          <w:rFonts w:ascii="David" w:hAnsi="David"/>
          <w:rtl/>
        </w:rPr>
        <w:t xml:space="preserve"> (מיום 21.2.2016)).</w:t>
      </w:r>
    </w:p>
    <w:p w14:paraId="5237A42E" w14:textId="77777777" w:rsidR="001F27C5" w:rsidRDefault="001F27C5" w:rsidP="006C6D7C">
      <w:pPr>
        <w:pStyle w:val="a9"/>
        <w:spacing w:line="360" w:lineRule="auto"/>
        <w:ind w:left="368"/>
        <w:jc w:val="both"/>
        <w:rPr>
          <w:rFonts w:ascii="David" w:hAnsi="David"/>
          <w:rtl/>
        </w:rPr>
      </w:pPr>
    </w:p>
    <w:p w14:paraId="5E2A42A6" w14:textId="3D1A9A59" w:rsidR="001F27C5" w:rsidRDefault="001F27C5" w:rsidP="006C6D7C">
      <w:pPr>
        <w:pStyle w:val="a9"/>
        <w:spacing w:line="360" w:lineRule="auto"/>
        <w:ind w:left="368"/>
        <w:jc w:val="both"/>
        <w:rPr>
          <w:rFonts w:ascii="David" w:hAnsi="David"/>
          <w:b/>
          <w:bCs/>
          <w:u w:val="single"/>
          <w:rtl/>
        </w:rPr>
      </w:pPr>
      <w:r>
        <w:rPr>
          <w:rFonts w:ascii="David" w:hAnsi="David" w:hint="cs"/>
          <w:b/>
          <w:bCs/>
          <w:u w:val="single"/>
          <w:rtl/>
        </w:rPr>
        <w:t>המבחן סובייקטיבי</w:t>
      </w:r>
    </w:p>
    <w:p w14:paraId="0449CE50" w14:textId="77777777" w:rsidR="001F27C5" w:rsidRDefault="001F27C5" w:rsidP="001F27C5">
      <w:pPr>
        <w:spacing w:line="360" w:lineRule="auto"/>
        <w:ind w:left="720"/>
        <w:rPr>
          <w:rtl/>
        </w:rPr>
      </w:pPr>
      <w:r>
        <w:rPr>
          <w:rFonts w:hint="cs"/>
          <w:rtl/>
        </w:rPr>
        <w:t>"אין ספק, כי קביעת חריגות הדחק הנפשי, או עוצמת ההתרגזות, צריכה להיבחן סובייקטיבית אצל האדם בו מדובר.</w:t>
      </w:r>
    </w:p>
    <w:p w14:paraId="1E7C89B0" w14:textId="77777777" w:rsidR="001F27C5" w:rsidRDefault="001F27C5" w:rsidP="001F27C5">
      <w:pPr>
        <w:spacing w:line="360" w:lineRule="auto"/>
        <w:ind w:left="720"/>
        <w:rPr>
          <w:rtl/>
        </w:rPr>
      </w:pPr>
      <w:r>
        <w:rPr>
          <w:rFonts w:hint="cs"/>
          <w:rtl/>
        </w:rPr>
        <w:t xml:space="preserve">משאין בית הדין, לצערו, בוחן כליות ולב ואין הוא יודע המתרחש בנפש האדם, אף הבחינה הסובייקטיבית להתרגזות בעוצמה חריגה טעונה ראיות אובייקטיביות ואין די </w:t>
      </w:r>
      <w:proofErr w:type="spellStart"/>
      <w:r>
        <w:rPr>
          <w:rFonts w:hint="cs"/>
          <w:rtl/>
        </w:rPr>
        <w:t>לענין</w:t>
      </w:r>
      <w:proofErr w:type="spellEnd"/>
      <w:r>
        <w:rPr>
          <w:rFonts w:hint="cs"/>
          <w:rtl/>
        </w:rPr>
        <w:t xml:space="preserve"> זה בעצם אמירת המערער, כי התרגז התרגזות חריגה" (וראו  </w:t>
      </w:r>
      <w:hyperlink r:id="rId11" w:history="1">
        <w:r w:rsidRPr="004B5DC4">
          <w:rPr>
            <w:color w:val="0000FF"/>
            <w:u w:val="single"/>
            <w:rtl/>
          </w:rPr>
          <w:t>עב"ל 458/99</w:t>
        </w:r>
      </w:hyperlink>
      <w:r>
        <w:rPr>
          <w:rFonts w:hint="cs"/>
          <w:rtl/>
        </w:rPr>
        <w:t xml:space="preserve"> - </w:t>
      </w:r>
      <w:proofErr w:type="spellStart"/>
      <w:r>
        <w:rPr>
          <w:rFonts w:hint="cs"/>
          <w:b/>
          <w:bCs/>
          <w:rtl/>
        </w:rPr>
        <w:t>פלבסקי</w:t>
      </w:r>
      <w:proofErr w:type="spellEnd"/>
      <w:r>
        <w:rPr>
          <w:rFonts w:hint="cs"/>
          <w:b/>
          <w:bCs/>
          <w:rtl/>
        </w:rPr>
        <w:t xml:space="preserve"> מאיר - המל"ל</w:t>
      </w:r>
      <w:r>
        <w:rPr>
          <w:rFonts w:hint="cs"/>
          <w:rtl/>
        </w:rPr>
        <w:t xml:space="preserve"> , ניתן ביום 11/03/02 , וכן </w:t>
      </w:r>
      <w:hyperlink r:id="rId12" w:history="1">
        <w:r w:rsidRPr="004B5DC4">
          <w:rPr>
            <w:color w:val="0000FF"/>
            <w:u w:val="single"/>
            <w:rtl/>
          </w:rPr>
          <w:t>עב"ל 0176/99</w:t>
        </w:r>
      </w:hyperlink>
      <w:r>
        <w:rPr>
          <w:rFonts w:hint="cs"/>
          <w:rtl/>
        </w:rPr>
        <w:t xml:space="preserve"> , </w:t>
      </w:r>
      <w:proofErr w:type="spellStart"/>
      <w:r>
        <w:rPr>
          <w:rFonts w:hint="cs"/>
          <w:b/>
          <w:bCs/>
          <w:rtl/>
        </w:rPr>
        <w:t>גרץ</w:t>
      </w:r>
      <w:proofErr w:type="spellEnd"/>
      <w:r>
        <w:rPr>
          <w:rFonts w:hint="cs"/>
          <w:b/>
          <w:bCs/>
          <w:rtl/>
        </w:rPr>
        <w:t xml:space="preserve"> דניאל  המל"ל</w:t>
      </w:r>
      <w:r>
        <w:rPr>
          <w:rFonts w:hint="cs"/>
          <w:rtl/>
        </w:rPr>
        <w:t xml:space="preserve"> , ניתן ביום 16/07/02). </w:t>
      </w:r>
    </w:p>
    <w:p w14:paraId="1D5EBA67" w14:textId="77777777" w:rsidR="008B6066" w:rsidRDefault="008B6066" w:rsidP="001F27C5">
      <w:pPr>
        <w:spacing w:line="360" w:lineRule="auto"/>
        <w:ind w:left="720"/>
        <w:rPr>
          <w:rtl/>
        </w:rPr>
      </w:pPr>
    </w:p>
    <w:p w14:paraId="662586DC" w14:textId="48B3A5AD" w:rsidR="008B6066" w:rsidRDefault="008B6066" w:rsidP="001F27C5">
      <w:pPr>
        <w:spacing w:line="360" w:lineRule="auto"/>
        <w:ind w:left="720"/>
        <w:rPr>
          <w:rtl/>
        </w:rPr>
      </w:pPr>
      <w:r>
        <w:rPr>
          <w:rFonts w:ascii="Arial" w:hAnsi="Arial"/>
          <w:b/>
          <w:bCs/>
          <w:sz w:val="28"/>
          <w:szCs w:val="28"/>
          <w:rtl/>
        </w:rPr>
        <w:t>"</w:t>
      </w:r>
      <w:r>
        <w:rPr>
          <w:b/>
          <w:bCs/>
          <w:sz w:val="28"/>
          <w:szCs w:val="28"/>
          <w:rtl/>
        </w:rPr>
        <w:t>מבלי לקבוע מסמרות, בהיבט הראייתי, נותנת הדעת כי בין מידת הסטייה של אירוע היסוד משגרת העבודה ועוצמתו ובין מידת הראיה הנדרשת קיימת זיקת גומלין. ככל שהסטייה משגרת העבודה גדולה ועוצמת האירוע גדולים יותר ניתן להקל בעוצמת הראיה הנדרשת, וככל שהסטייה והעוצמה קטנים יותר עשויות להידרש ראיות ברורות יותר כי סטייה קלה מהשגרה גרמה לדחק נפשי בעוצמה הנטענת</w:t>
      </w:r>
      <w:r>
        <w:rPr>
          <w:rFonts w:ascii="Arial" w:hAnsi="Arial"/>
          <w:b/>
          <w:bCs/>
          <w:sz w:val="28"/>
          <w:szCs w:val="28"/>
          <w:rtl/>
        </w:rPr>
        <w:t xml:space="preserve">" </w:t>
      </w:r>
      <w:r>
        <w:rPr>
          <w:rFonts w:ascii="Arial" w:hAnsi="Arial"/>
          <w:sz w:val="28"/>
          <w:szCs w:val="28"/>
          <w:rtl/>
        </w:rPr>
        <w:t>(</w:t>
      </w:r>
      <w:r>
        <w:rPr>
          <w:rFonts w:ascii="Arial" w:hAnsi="Arial"/>
          <w:b/>
          <w:bCs/>
          <w:sz w:val="28"/>
          <w:szCs w:val="28"/>
          <w:rtl/>
        </w:rPr>
        <w:t xml:space="preserve">עניין </w:t>
      </w:r>
      <w:proofErr w:type="spellStart"/>
      <w:r>
        <w:rPr>
          <w:rFonts w:ascii="Arial" w:hAnsi="Arial"/>
          <w:b/>
          <w:bCs/>
          <w:sz w:val="28"/>
          <w:szCs w:val="28"/>
          <w:rtl/>
        </w:rPr>
        <w:t>מליק</w:t>
      </w:r>
      <w:proofErr w:type="spellEnd"/>
      <w:r>
        <w:rPr>
          <w:rFonts w:ascii="Arial" w:hAnsi="Arial"/>
          <w:sz w:val="28"/>
          <w:szCs w:val="28"/>
          <w:rtl/>
        </w:rPr>
        <w:t>. פסקה 16;</w:t>
      </w:r>
      <w:r w:rsidRPr="00517478">
        <w:rPr>
          <w:rFonts w:ascii="Arial" w:hAnsi="Arial"/>
          <w:color w:val="000000"/>
          <w:sz w:val="28"/>
          <w:szCs w:val="28"/>
          <w:rtl/>
        </w:rPr>
        <w:t>עב"ל(ארצי) 7968-12-20</w:t>
      </w:r>
      <w:r>
        <w:rPr>
          <w:rFonts w:ascii="Arial" w:hAnsi="Arial"/>
          <w:sz w:val="28"/>
          <w:szCs w:val="28"/>
          <w:rtl/>
        </w:rPr>
        <w:t xml:space="preserve"> </w:t>
      </w:r>
      <w:r>
        <w:rPr>
          <w:rFonts w:ascii="Arial" w:hAnsi="Arial" w:hint="cs"/>
          <w:b/>
          <w:bCs/>
          <w:sz w:val="28"/>
          <w:szCs w:val="28"/>
          <w:rtl/>
        </w:rPr>
        <w:t>פלונית - המוסד לביטוח לאומי</w:t>
      </w:r>
      <w:r>
        <w:rPr>
          <w:rFonts w:ascii="Arial" w:hAnsi="Arial" w:hint="cs"/>
          <w:sz w:val="28"/>
          <w:szCs w:val="28"/>
          <w:rtl/>
        </w:rPr>
        <w:t xml:space="preserve"> [נבו] (21.12.2021).</w:t>
      </w:r>
    </w:p>
    <w:p w14:paraId="275C175F" w14:textId="77777777" w:rsidR="00820601" w:rsidRDefault="00820601" w:rsidP="001F27C5">
      <w:pPr>
        <w:spacing w:line="360" w:lineRule="auto"/>
        <w:ind w:left="720"/>
        <w:rPr>
          <w:rtl/>
        </w:rPr>
      </w:pPr>
    </w:p>
    <w:p w14:paraId="0FD89A8F" w14:textId="77777777" w:rsidR="00820601" w:rsidRDefault="00820601" w:rsidP="00820601">
      <w:pPr>
        <w:pStyle w:val="12"/>
        <w:spacing w:line="360" w:lineRule="auto"/>
        <w:jc w:val="both"/>
        <w:rPr>
          <w:rFonts w:ascii="Arial" w:hAnsi="Arial"/>
          <w:sz w:val="28"/>
          <w:szCs w:val="28"/>
        </w:rPr>
      </w:pPr>
      <w:r>
        <w:rPr>
          <w:rFonts w:ascii="Arial" w:hAnsi="Arial"/>
          <w:sz w:val="28"/>
          <w:szCs w:val="28"/>
          <w:rtl/>
        </w:rPr>
        <w:t xml:space="preserve">כאשר מתעורר ספק בדבר חריגות הדחק (או המאמץ הגופני), אך הוכחה </w:t>
      </w:r>
      <w:r>
        <w:rPr>
          <w:rFonts w:ascii="Arial" w:hAnsi="Arial"/>
          <w:b/>
          <w:bCs/>
          <w:sz w:val="28"/>
          <w:szCs w:val="28"/>
          <w:rtl/>
        </w:rPr>
        <w:t>סמיכות זמנים</w:t>
      </w:r>
      <w:r>
        <w:rPr>
          <w:rFonts w:ascii="Arial" w:hAnsi="Arial"/>
          <w:sz w:val="28"/>
          <w:szCs w:val="28"/>
          <w:rtl/>
        </w:rPr>
        <w:t xml:space="preserve"> הנדרשת בין המאמץ לבין אירוע הלב, יש לשקול מינוי מומחה רפואי שיחווה דעתו ביחס לקשר הסיבתי בין המאמץ אליו נדרש המבוטח לבין אירוע הלב (</w:t>
      </w:r>
      <w:hyperlink r:id="rId13" w:history="1">
        <w:r w:rsidRPr="00517478">
          <w:rPr>
            <w:rFonts w:ascii="Arial" w:hAnsi="Arial"/>
            <w:color w:val="0000FF"/>
            <w:sz w:val="28"/>
            <w:szCs w:val="28"/>
            <w:u w:val="single"/>
            <w:rtl/>
          </w:rPr>
          <w:t>עב"ל (ארצי) 35047-08-13</w:t>
        </w:r>
      </w:hyperlink>
      <w:r>
        <w:rPr>
          <w:rFonts w:ascii="Arial" w:hAnsi="Arial"/>
          <w:sz w:val="28"/>
          <w:szCs w:val="28"/>
          <w:rtl/>
        </w:rPr>
        <w:t xml:space="preserve"> </w:t>
      </w:r>
      <w:r>
        <w:rPr>
          <w:rFonts w:ascii="Arial" w:hAnsi="Arial" w:hint="cs"/>
          <w:b/>
          <w:bCs/>
          <w:sz w:val="28"/>
          <w:szCs w:val="28"/>
          <w:rtl/>
        </w:rPr>
        <w:t xml:space="preserve">מרינה </w:t>
      </w:r>
      <w:proofErr w:type="spellStart"/>
      <w:r>
        <w:rPr>
          <w:rFonts w:ascii="Arial" w:hAnsi="Arial" w:hint="cs"/>
          <w:b/>
          <w:bCs/>
          <w:sz w:val="28"/>
          <w:szCs w:val="28"/>
          <w:rtl/>
        </w:rPr>
        <w:t>בריקלין</w:t>
      </w:r>
      <w:proofErr w:type="spellEnd"/>
      <w:r>
        <w:rPr>
          <w:rFonts w:ascii="Arial" w:hAnsi="Arial" w:hint="cs"/>
          <w:b/>
          <w:bCs/>
          <w:sz w:val="28"/>
          <w:szCs w:val="28"/>
          <w:rtl/>
        </w:rPr>
        <w:t xml:space="preserve"> – המוסד לביטוח לאומי</w:t>
      </w:r>
      <w:r>
        <w:rPr>
          <w:rFonts w:ascii="Arial" w:hAnsi="Arial" w:hint="cs"/>
          <w:sz w:val="28"/>
          <w:szCs w:val="28"/>
          <w:rtl/>
        </w:rPr>
        <w:t xml:space="preserve"> [נבו] (23.7.2014), פסקה 12; </w:t>
      </w:r>
      <w:hyperlink r:id="rId14" w:history="1">
        <w:r w:rsidRPr="00517478">
          <w:rPr>
            <w:rFonts w:ascii="Arial" w:hAnsi="Arial"/>
            <w:color w:val="0000FF"/>
            <w:sz w:val="28"/>
            <w:szCs w:val="28"/>
            <w:u w:val="single"/>
            <w:rtl/>
          </w:rPr>
          <w:t>עב"ל (ארצי) 481/99</w:t>
        </w:r>
      </w:hyperlink>
      <w:r>
        <w:rPr>
          <w:rFonts w:ascii="Arial" w:hAnsi="Arial"/>
          <w:sz w:val="28"/>
          <w:szCs w:val="28"/>
          <w:rtl/>
        </w:rPr>
        <w:t xml:space="preserve"> </w:t>
      </w:r>
      <w:r>
        <w:rPr>
          <w:rFonts w:ascii="Arial" w:hAnsi="Arial" w:hint="cs"/>
          <w:b/>
          <w:bCs/>
          <w:sz w:val="28"/>
          <w:szCs w:val="28"/>
          <w:rtl/>
        </w:rPr>
        <w:t xml:space="preserve">המוסד לביטוח לאומי – </w:t>
      </w:r>
      <w:proofErr w:type="spellStart"/>
      <w:r>
        <w:rPr>
          <w:rFonts w:ascii="Arial" w:hAnsi="Arial" w:hint="cs"/>
          <w:b/>
          <w:bCs/>
          <w:sz w:val="28"/>
          <w:szCs w:val="28"/>
          <w:rtl/>
        </w:rPr>
        <w:t>מכלוביץ</w:t>
      </w:r>
      <w:proofErr w:type="spellEnd"/>
      <w:r>
        <w:rPr>
          <w:rFonts w:ascii="Arial" w:hAnsi="Arial" w:hint="cs"/>
          <w:b/>
          <w:bCs/>
          <w:sz w:val="28"/>
          <w:szCs w:val="28"/>
          <w:rtl/>
        </w:rPr>
        <w:t>'</w:t>
      </w:r>
      <w:r>
        <w:rPr>
          <w:rFonts w:ascii="Arial" w:hAnsi="Arial" w:hint="cs"/>
          <w:sz w:val="28"/>
          <w:szCs w:val="28"/>
          <w:rtl/>
        </w:rPr>
        <w:t xml:space="preserve">, </w:t>
      </w:r>
      <w:proofErr w:type="spellStart"/>
      <w:r>
        <w:rPr>
          <w:rFonts w:ascii="Arial" w:hAnsi="Arial" w:hint="cs"/>
          <w:sz w:val="28"/>
          <w:szCs w:val="28"/>
          <w:rtl/>
        </w:rPr>
        <w:t>פד"ע</w:t>
      </w:r>
      <w:proofErr w:type="spellEnd"/>
      <w:r>
        <w:rPr>
          <w:rFonts w:ascii="Arial" w:hAnsi="Arial" w:hint="cs"/>
          <w:sz w:val="28"/>
          <w:szCs w:val="28"/>
          <w:rtl/>
        </w:rPr>
        <w:t xml:space="preserve"> ל"ח 461).  </w:t>
      </w:r>
    </w:p>
    <w:p w14:paraId="02624AB4" w14:textId="77777777" w:rsidR="00820601" w:rsidRPr="00820601" w:rsidRDefault="00820601" w:rsidP="001F27C5">
      <w:pPr>
        <w:spacing w:line="360" w:lineRule="auto"/>
        <w:ind w:left="720"/>
        <w:rPr>
          <w:rtl/>
        </w:rPr>
      </w:pPr>
    </w:p>
    <w:p w14:paraId="5996ABCD" w14:textId="77777777" w:rsidR="001F27C5" w:rsidRDefault="001F27C5" w:rsidP="006C6D7C">
      <w:pPr>
        <w:pStyle w:val="a9"/>
        <w:spacing w:line="360" w:lineRule="auto"/>
        <w:ind w:left="368"/>
        <w:jc w:val="both"/>
        <w:rPr>
          <w:rFonts w:ascii="David" w:hAnsi="David"/>
          <w:b/>
          <w:bCs/>
          <w:u w:val="single"/>
          <w:rtl/>
        </w:rPr>
      </w:pPr>
    </w:p>
    <w:p w14:paraId="1CC48457" w14:textId="74D619B4" w:rsidR="001F58C7" w:rsidRDefault="001F58C7" w:rsidP="006C6D7C">
      <w:pPr>
        <w:pStyle w:val="a9"/>
        <w:spacing w:line="360" w:lineRule="auto"/>
        <w:ind w:left="368"/>
        <w:jc w:val="both"/>
        <w:rPr>
          <w:rFonts w:ascii="David" w:hAnsi="David"/>
          <w:b/>
          <w:bCs/>
          <w:u w:val="single"/>
          <w:rtl/>
        </w:rPr>
      </w:pPr>
      <w:r>
        <w:rPr>
          <w:rFonts w:ascii="David" w:hAnsi="David" w:hint="cs"/>
          <w:b/>
          <w:bCs/>
          <w:u w:val="single"/>
          <w:rtl/>
        </w:rPr>
        <w:t xml:space="preserve">הוכחת חריגות הדחק </w:t>
      </w:r>
      <w:r>
        <w:rPr>
          <w:rFonts w:ascii="David" w:hAnsi="David"/>
          <w:b/>
          <w:bCs/>
          <w:u w:val="single"/>
          <w:rtl/>
        </w:rPr>
        <w:t>–</w:t>
      </w:r>
      <w:r>
        <w:rPr>
          <w:rFonts w:ascii="David" w:hAnsi="David" w:hint="cs"/>
          <w:b/>
          <w:bCs/>
          <w:u w:val="single"/>
          <w:rtl/>
        </w:rPr>
        <w:t xml:space="preserve"> לא די בעדות הנפגע:</w:t>
      </w:r>
    </w:p>
    <w:p w14:paraId="24A6D6AC" w14:textId="77777777" w:rsidR="001F58C7" w:rsidRPr="005A6E17" w:rsidRDefault="001F58C7" w:rsidP="001F58C7">
      <w:pPr>
        <w:pStyle w:val="a9"/>
        <w:spacing w:line="360" w:lineRule="auto"/>
        <w:ind w:left="368"/>
        <w:jc w:val="both"/>
        <w:rPr>
          <w:rFonts w:ascii="David" w:hAnsi="David"/>
        </w:rPr>
      </w:pPr>
      <w:r w:rsidRPr="005A6E17">
        <w:rPr>
          <w:rFonts w:ascii="David" w:hAnsi="David"/>
          <w:rtl/>
        </w:rPr>
        <w:t>ההבחנה בין מאמץ גופני חריג לדחק חריג. לעניין זה נפסק, כי כאשר מבוקש להוכיח כי אירוע הלב נגרם כתוצאה של דחק חריג, על המבוטח להוכיח במאזן ההסתברויות קיומו של אירוע יסוד שאירע עקב העבודה בעבודה, וכן כי אותו אירוע יסוד גרם לו לדחק חריג. לעניין היקף הדרישה הראייתית להוכחת דחק חריג, נפסק כי נדרשות ראיות אובייקטיביות להוכחת חריגות הדחק וככלל לא די לעניין זה בעדות המבוטח. בצד זאת נקבע כי "</w:t>
      </w:r>
      <w:r w:rsidRPr="005A6E17">
        <w:rPr>
          <w:rFonts w:ascii="David" w:hAnsi="David"/>
          <w:b/>
          <w:bCs/>
          <w:rtl/>
        </w:rPr>
        <w:t>ככל שחֲרִיגוּת אירוע היסוד שהוכח קיצונית יותר, כך ניתן יהיה להקל בהיקף הדרישה לראיות אובייקטיביות, אשר יעידו על הדחק החריג שנגרם למבוטח בעקבות אירוע היסוד</w:t>
      </w:r>
      <w:r w:rsidRPr="005A6E17">
        <w:rPr>
          <w:rFonts w:ascii="David" w:hAnsi="David"/>
          <w:rtl/>
        </w:rPr>
        <w:t>" (</w:t>
      </w:r>
      <w:hyperlink r:id="rId15" w:history="1">
        <w:r w:rsidRPr="00FA50C1">
          <w:rPr>
            <w:rFonts w:ascii="David" w:hAnsi="David"/>
            <w:color w:val="0000FF"/>
            <w:u w:val="single"/>
            <w:rtl/>
          </w:rPr>
          <w:t>עב"ל (ארצי) 25208-01-23</w:t>
        </w:r>
      </w:hyperlink>
      <w:r w:rsidRPr="005A6E17">
        <w:rPr>
          <w:rFonts w:ascii="David" w:hAnsi="David"/>
          <w:rtl/>
        </w:rPr>
        <w:t xml:space="preserve"> </w:t>
      </w:r>
      <w:r w:rsidRPr="005A6E17">
        <w:rPr>
          <w:rFonts w:ascii="David" w:hAnsi="David"/>
          <w:b/>
          <w:bCs/>
          <w:rtl/>
        </w:rPr>
        <w:t xml:space="preserve">חוסני </w:t>
      </w:r>
      <w:proofErr w:type="spellStart"/>
      <w:r w:rsidRPr="005A6E17">
        <w:rPr>
          <w:rFonts w:ascii="David" w:hAnsi="David"/>
          <w:b/>
          <w:bCs/>
          <w:rtl/>
        </w:rPr>
        <w:t>מסארווה</w:t>
      </w:r>
      <w:proofErr w:type="spellEnd"/>
      <w:r w:rsidRPr="005A6E17">
        <w:rPr>
          <w:rFonts w:ascii="David" w:hAnsi="David"/>
          <w:b/>
          <w:bCs/>
          <w:rtl/>
        </w:rPr>
        <w:t xml:space="preserve"> – המוסד לביטוח לאומי</w:t>
      </w:r>
      <w:r w:rsidRPr="005A6E17">
        <w:rPr>
          <w:rFonts w:ascii="David" w:hAnsi="David"/>
          <w:rtl/>
        </w:rPr>
        <w:t xml:space="preserve"> (מיום 20.5.2024)).</w:t>
      </w:r>
    </w:p>
    <w:p w14:paraId="2F865209" w14:textId="77777777" w:rsidR="001F58C7" w:rsidRPr="005A6E17" w:rsidRDefault="001F58C7" w:rsidP="001F58C7">
      <w:pPr>
        <w:pStyle w:val="a9"/>
        <w:spacing w:line="360" w:lineRule="auto"/>
        <w:ind w:left="368"/>
        <w:jc w:val="both"/>
        <w:rPr>
          <w:rFonts w:ascii="David" w:hAnsi="David"/>
        </w:rPr>
      </w:pPr>
    </w:p>
    <w:p w14:paraId="4F05FD08" w14:textId="77777777" w:rsidR="001F58C7" w:rsidRPr="005A6E17" w:rsidRDefault="001F58C7" w:rsidP="001F58C7">
      <w:pPr>
        <w:pStyle w:val="a9"/>
        <w:spacing w:line="360" w:lineRule="auto"/>
        <w:ind w:left="368"/>
        <w:jc w:val="both"/>
        <w:rPr>
          <w:rFonts w:ascii="David" w:hAnsi="David"/>
        </w:rPr>
      </w:pPr>
      <w:r w:rsidRPr="005A6E17">
        <w:rPr>
          <w:rFonts w:ascii="David" w:hAnsi="David"/>
          <w:rtl/>
        </w:rPr>
        <w:t>אם קיים ספק בדבר חריגות האירוע, אך הוכחה סמיכות זמנים הנדרשת בין האירוע בעבודה לאירוע הלבבי, יש למנות מומחה יועץ רפואי, על מנת שלא לנעול את דלתות בית הדין בפני המבוטח על הסף, בטרם יבחן המומחה את שאלת הקשר הסיבתי בין האירוע בעבודה ובין הפגיעה הגופנית בה לקה המבוטח (</w:t>
      </w:r>
      <w:hyperlink r:id="rId16" w:history="1">
        <w:r w:rsidRPr="00FA50C1">
          <w:rPr>
            <w:rFonts w:ascii="David" w:hAnsi="David"/>
            <w:color w:val="0000FF"/>
            <w:u w:val="single"/>
            <w:rtl/>
          </w:rPr>
          <w:t>עב"ל (ארצי) 35047-08-13</w:t>
        </w:r>
      </w:hyperlink>
      <w:r w:rsidRPr="005A6E17">
        <w:rPr>
          <w:rFonts w:ascii="David" w:hAnsi="David"/>
          <w:rtl/>
        </w:rPr>
        <w:t xml:space="preserve"> </w:t>
      </w:r>
      <w:r w:rsidRPr="005A6E17">
        <w:rPr>
          <w:rFonts w:ascii="David" w:hAnsi="David"/>
          <w:b/>
          <w:bCs/>
          <w:rtl/>
        </w:rPr>
        <w:t xml:space="preserve">מרינה </w:t>
      </w:r>
      <w:proofErr w:type="spellStart"/>
      <w:r w:rsidRPr="005A6E17">
        <w:rPr>
          <w:rFonts w:ascii="David" w:hAnsi="David"/>
          <w:b/>
          <w:bCs/>
          <w:rtl/>
        </w:rPr>
        <w:t>בריקלין</w:t>
      </w:r>
      <w:proofErr w:type="spellEnd"/>
      <w:r w:rsidRPr="005A6E17">
        <w:rPr>
          <w:rFonts w:ascii="David" w:hAnsi="David"/>
          <w:rtl/>
        </w:rPr>
        <w:t xml:space="preserve"> – </w:t>
      </w:r>
      <w:r w:rsidRPr="005A6E17">
        <w:rPr>
          <w:rFonts w:ascii="David" w:hAnsi="David"/>
          <w:b/>
          <w:bCs/>
          <w:rtl/>
        </w:rPr>
        <w:t>המוסד לביטוח לאומי</w:t>
      </w:r>
      <w:r w:rsidRPr="005A6E17">
        <w:rPr>
          <w:rFonts w:ascii="David" w:hAnsi="David"/>
          <w:rtl/>
        </w:rPr>
        <w:t xml:space="preserve"> (מיום 23.7.2014); </w:t>
      </w:r>
      <w:hyperlink r:id="rId17" w:history="1">
        <w:r w:rsidRPr="00FA50C1">
          <w:rPr>
            <w:rFonts w:ascii="David" w:hAnsi="David"/>
            <w:color w:val="0000FF"/>
            <w:u w:val="single"/>
            <w:rtl/>
          </w:rPr>
          <w:t>עב"ל (ארצי) 27065-05-15</w:t>
        </w:r>
      </w:hyperlink>
      <w:r w:rsidRPr="005A6E17">
        <w:rPr>
          <w:rFonts w:ascii="David" w:hAnsi="David"/>
          <w:rtl/>
        </w:rPr>
        <w:t xml:space="preserve"> </w:t>
      </w:r>
      <w:r w:rsidRPr="005A6E17">
        <w:rPr>
          <w:rFonts w:ascii="David" w:hAnsi="David"/>
          <w:b/>
          <w:bCs/>
          <w:rtl/>
        </w:rPr>
        <w:t xml:space="preserve">מישה </w:t>
      </w:r>
      <w:proofErr w:type="spellStart"/>
      <w:r w:rsidRPr="005A6E17">
        <w:rPr>
          <w:rFonts w:ascii="David" w:hAnsi="David"/>
          <w:b/>
          <w:bCs/>
          <w:rtl/>
        </w:rPr>
        <w:t>ציונוב</w:t>
      </w:r>
      <w:proofErr w:type="spellEnd"/>
      <w:r w:rsidRPr="005A6E17">
        <w:rPr>
          <w:rFonts w:ascii="David" w:hAnsi="David"/>
          <w:b/>
          <w:bCs/>
          <w:rtl/>
        </w:rPr>
        <w:t xml:space="preserve"> </w:t>
      </w:r>
      <w:r w:rsidRPr="005A6E17">
        <w:rPr>
          <w:rFonts w:ascii="David" w:hAnsi="David"/>
          <w:rtl/>
        </w:rPr>
        <w:t>–</w:t>
      </w:r>
      <w:r w:rsidRPr="005A6E17">
        <w:rPr>
          <w:rFonts w:ascii="David" w:hAnsi="David"/>
          <w:b/>
          <w:bCs/>
          <w:rtl/>
        </w:rPr>
        <w:t xml:space="preserve"> המוסד לביטוח לאומי </w:t>
      </w:r>
      <w:r w:rsidRPr="005A6E17">
        <w:rPr>
          <w:rFonts w:ascii="David" w:hAnsi="David"/>
          <w:rtl/>
        </w:rPr>
        <w:t>(מיום 21.2.2016)).</w:t>
      </w:r>
    </w:p>
    <w:p w14:paraId="57D51581" w14:textId="77777777" w:rsidR="001F58C7" w:rsidRPr="001F58C7" w:rsidRDefault="001F58C7" w:rsidP="006C6D7C">
      <w:pPr>
        <w:pStyle w:val="a9"/>
        <w:spacing w:line="360" w:lineRule="auto"/>
        <w:ind w:left="368"/>
        <w:jc w:val="both"/>
        <w:rPr>
          <w:rFonts w:ascii="David" w:hAnsi="David"/>
          <w:b/>
          <w:bCs/>
          <w:u w:val="single"/>
          <w:rtl/>
        </w:rPr>
      </w:pPr>
    </w:p>
    <w:p w14:paraId="196B5339" w14:textId="77777777" w:rsidR="006C6D7C" w:rsidRPr="00372B6F" w:rsidRDefault="006C6D7C" w:rsidP="004F4FFE">
      <w:pPr>
        <w:pStyle w:val="a9"/>
        <w:spacing w:line="360" w:lineRule="auto"/>
        <w:ind w:left="368"/>
        <w:jc w:val="both"/>
        <w:rPr>
          <w:rFonts w:ascii="David" w:hAnsi="David"/>
          <w:rtl/>
        </w:rPr>
      </w:pPr>
    </w:p>
    <w:p w14:paraId="4521E669" w14:textId="6EE302B7" w:rsidR="004F4FFE" w:rsidRPr="005148C3" w:rsidRDefault="00013C20" w:rsidP="004F4FFE">
      <w:pPr>
        <w:spacing w:line="360" w:lineRule="auto"/>
        <w:ind w:left="360"/>
        <w:jc w:val="both"/>
        <w:rPr>
          <w:b/>
          <w:bCs/>
          <w:u w:val="single"/>
          <w:rtl/>
        </w:rPr>
      </w:pPr>
      <w:r w:rsidRPr="005148C3">
        <w:rPr>
          <w:rFonts w:hint="cs"/>
          <w:b/>
          <w:bCs/>
          <w:u w:val="single"/>
          <w:rtl/>
        </w:rPr>
        <w:t>הכללים ל</w:t>
      </w:r>
      <w:r w:rsidR="005148C3" w:rsidRPr="005148C3">
        <w:rPr>
          <w:rFonts w:hint="cs"/>
          <w:b/>
          <w:bCs/>
          <w:u w:val="single"/>
          <w:rtl/>
        </w:rPr>
        <w:t>הכרה באירוע חריג:</w:t>
      </w:r>
    </w:p>
    <w:p w14:paraId="10BDC76B" w14:textId="6C2CAE7F" w:rsidR="00CB29BD" w:rsidRDefault="00CB29BD" w:rsidP="004F4FFE">
      <w:pPr>
        <w:spacing w:line="360" w:lineRule="auto"/>
        <w:ind w:left="360"/>
        <w:jc w:val="both"/>
      </w:pPr>
      <w:r>
        <w:rPr>
          <w:b/>
          <w:bCs/>
          <w:rtl/>
        </w:rPr>
        <w:t xml:space="preserve">בעניין </w:t>
      </w:r>
      <w:proofErr w:type="spellStart"/>
      <w:r>
        <w:rPr>
          <w:b/>
          <w:bCs/>
          <w:rtl/>
        </w:rPr>
        <w:t>סידה</w:t>
      </w:r>
      <w:proofErr w:type="spellEnd"/>
      <w:r>
        <w:rPr>
          <w:rStyle w:val="af0"/>
          <w:rFonts w:eastAsiaTheme="majorEastAsia"/>
          <w:rtl/>
        </w:rPr>
        <w:footnoteReference w:id="1"/>
      </w:r>
      <w:r>
        <w:rPr>
          <w:b/>
          <w:bCs/>
          <w:rtl/>
        </w:rPr>
        <w:t xml:space="preserve"> </w:t>
      </w:r>
      <w:r>
        <w:rPr>
          <w:rtl/>
        </w:rPr>
        <w:t>סיכם בית הדין הארצי את הכללים להכרה באירוע כלשהו בעבודתו של מבוטח כ"אירוע חריג", באופן הבא:</w:t>
      </w:r>
    </w:p>
    <w:p w14:paraId="5B9815BB" w14:textId="77777777" w:rsidR="00CB29BD" w:rsidRDefault="00CB29BD" w:rsidP="00CB29BD">
      <w:pPr>
        <w:spacing w:line="360" w:lineRule="auto"/>
        <w:ind w:left="360"/>
        <w:jc w:val="both"/>
        <w:rPr>
          <w:b/>
          <w:bCs/>
          <w:i/>
          <w:iCs/>
          <w:sz w:val="22"/>
          <w:szCs w:val="22"/>
        </w:rPr>
      </w:pPr>
      <w:r>
        <w:rPr>
          <w:b/>
          <w:bCs/>
          <w:i/>
          <w:iCs/>
          <w:sz w:val="22"/>
          <w:szCs w:val="22"/>
          <w:rtl/>
        </w:rPr>
        <w:t>"על מנת שאוטם שריר הלב יוכר כתאונת עבודה על התובע להוכיח קרות אירוע חריג בחיי עבודתו בסמוך לפני קרות האוטם. משמעות הדבר:</w:t>
      </w:r>
    </w:p>
    <w:p w14:paraId="74869A2C" w14:textId="77777777" w:rsidR="00CB29BD" w:rsidRDefault="00CB29BD" w:rsidP="00CB29BD">
      <w:pPr>
        <w:spacing w:line="360" w:lineRule="auto"/>
        <w:ind w:left="360"/>
        <w:jc w:val="both"/>
        <w:rPr>
          <w:b/>
          <w:bCs/>
          <w:i/>
          <w:iCs/>
          <w:sz w:val="22"/>
          <w:szCs w:val="22"/>
          <w:rtl/>
        </w:rPr>
      </w:pPr>
      <w:r>
        <w:rPr>
          <w:b/>
          <w:bCs/>
          <w:i/>
          <w:iCs/>
          <w:sz w:val="22"/>
          <w:szCs w:val="22"/>
          <w:rtl/>
        </w:rPr>
        <w:t>ראשית - שעל התובע להוכיח קרות מאורע אובייקטיבי בעבודתו. כלומר, מאורע הקשור לעבודה שניתן לאיתור בזמן ובמקום כך שניתן יהיה לקבוע שביום זה וזה בשעה כזאת וכזאת אירע כדבר הזה והזה.</w:t>
      </w:r>
    </w:p>
    <w:p w14:paraId="6AD571C2" w14:textId="77777777" w:rsidR="00CB29BD" w:rsidRDefault="00CB29BD" w:rsidP="00CB29BD">
      <w:pPr>
        <w:spacing w:line="360" w:lineRule="auto"/>
        <w:ind w:left="360"/>
        <w:jc w:val="both"/>
        <w:rPr>
          <w:b/>
          <w:bCs/>
          <w:i/>
          <w:iCs/>
          <w:sz w:val="22"/>
          <w:szCs w:val="22"/>
          <w:rtl/>
        </w:rPr>
      </w:pPr>
      <w:r>
        <w:rPr>
          <w:b/>
          <w:bCs/>
          <w:i/>
          <w:iCs/>
          <w:sz w:val="22"/>
          <w:szCs w:val="22"/>
          <w:rtl/>
        </w:rPr>
        <w:t>שנית - על התובע להוכיח קרות אירוע חריג לגביו. אירוע חריג כאמור יכול למצוא ביטויו אצלו; או בדחק נפשי בלתי רגיל או במאמץ גופני יוצא דופן...</w:t>
      </w:r>
    </w:p>
    <w:p w14:paraId="197A0F59" w14:textId="77777777" w:rsidR="00CB29BD" w:rsidRDefault="00CB29BD" w:rsidP="00CB29BD">
      <w:pPr>
        <w:spacing w:line="360" w:lineRule="auto"/>
        <w:ind w:left="360"/>
        <w:jc w:val="both"/>
        <w:rPr>
          <w:b/>
          <w:bCs/>
          <w:i/>
          <w:iCs/>
          <w:sz w:val="22"/>
          <w:szCs w:val="22"/>
          <w:rtl/>
        </w:rPr>
      </w:pPr>
      <w:r>
        <w:rPr>
          <w:b/>
          <w:bCs/>
          <w:i/>
          <w:iCs/>
          <w:sz w:val="22"/>
          <w:szCs w:val="22"/>
          <w:rtl/>
        </w:rPr>
        <w:t>שלישית - על התובע להוכיח, כי אותו מאורע חיצוני אובייקטיבי בעבודתו גרם לו לדחק הנפשי הבלתי רגיל.</w:t>
      </w:r>
    </w:p>
    <w:p w14:paraId="7AAB8426" w14:textId="77777777" w:rsidR="00CB29BD" w:rsidRDefault="00CB29BD" w:rsidP="00CB29BD">
      <w:pPr>
        <w:spacing w:line="360" w:lineRule="auto"/>
        <w:ind w:left="360"/>
        <w:jc w:val="both"/>
        <w:rPr>
          <w:rtl/>
        </w:rPr>
      </w:pPr>
      <w:r>
        <w:rPr>
          <w:b/>
          <w:bCs/>
          <w:i/>
          <w:iCs/>
          <w:sz w:val="22"/>
          <w:szCs w:val="22"/>
          <w:rtl/>
        </w:rPr>
        <w:t>רביעית - משמעות חובת ההוכחה האמורה הינה, שעל התובע להוכיח בסבירות העולה על 50% את גרסתו לדחק נפשי בלתי רגיל הנגרם לו בעטיו של מאורע בעבודתו"</w:t>
      </w:r>
      <w:r>
        <w:rPr>
          <w:rtl/>
        </w:rPr>
        <w:t>.</w:t>
      </w:r>
    </w:p>
    <w:p w14:paraId="20F99633" w14:textId="77777777" w:rsidR="00CB29BD" w:rsidRPr="0088635B" w:rsidRDefault="00CB29BD" w:rsidP="00CB29BD">
      <w:pPr>
        <w:jc w:val="both"/>
        <w:rPr>
          <w:b/>
          <w:bCs/>
          <w:sz w:val="16"/>
          <w:szCs w:val="16"/>
          <w:u w:val="single"/>
          <w:rtl/>
        </w:rPr>
      </w:pPr>
    </w:p>
    <w:p w14:paraId="2203E7B0" w14:textId="77777777" w:rsidR="00CB29BD" w:rsidRDefault="00CB29BD" w:rsidP="00CB29BD">
      <w:pPr>
        <w:numPr>
          <w:ilvl w:val="0"/>
          <w:numId w:val="1"/>
        </w:numPr>
        <w:spacing w:line="360" w:lineRule="auto"/>
        <w:jc w:val="both"/>
      </w:pPr>
      <w:r>
        <w:rPr>
          <w:rtl/>
        </w:rPr>
        <w:t>כלומר, כדי ש"אירוע חריג" ייחשב כ"תאונת עבודה" צריך שהוא יוגדר בזמן ובמקום. אין הכרח שיהיה רגעי וקצר ובלבד שמשכו אינו עולה כדי "מתח מתמשך"</w:t>
      </w:r>
      <w:r>
        <w:rPr>
          <w:rStyle w:val="af0"/>
          <w:rFonts w:eastAsiaTheme="majorEastAsia"/>
          <w:rtl/>
        </w:rPr>
        <w:footnoteReference w:id="2"/>
      </w:r>
      <w:r>
        <w:rPr>
          <w:rtl/>
        </w:rPr>
        <w:t xml:space="preserve">. </w:t>
      </w:r>
    </w:p>
    <w:p w14:paraId="1DB7AF0F" w14:textId="77777777" w:rsidR="005116A3" w:rsidRDefault="005116A3" w:rsidP="005116A3">
      <w:pPr>
        <w:spacing w:line="360" w:lineRule="auto"/>
        <w:ind w:left="360"/>
        <w:jc w:val="both"/>
        <w:rPr>
          <w:rtl/>
        </w:rPr>
      </w:pPr>
      <w:r>
        <w:rPr>
          <w:rtl/>
        </w:rPr>
        <w:t>הלכה היא ש"מתח מתמשך" בעבודה, אפילו אם הוא נמשך ימים או שבועות, אינו עולה כדי "אירוע חריג"</w:t>
      </w:r>
      <w:r>
        <w:rPr>
          <w:rStyle w:val="af0"/>
          <w:rFonts w:eastAsiaTheme="majorEastAsia"/>
          <w:rtl/>
        </w:rPr>
        <w:footnoteReference w:id="3"/>
      </w:r>
      <w:r>
        <w:rPr>
          <w:rtl/>
        </w:rPr>
        <w:t>. עם זאת, נפסק כי ייתכן ש"אירוע חריג" יוכר גם על רקע של מתח מתמשך, אם סמוך לפני האירוע נוצר "שיא" או "עליית מדרגה" חריגים באותו מתח מתמשך, שייחשבו כ"אירוע חריג"</w:t>
      </w:r>
      <w:r>
        <w:rPr>
          <w:rStyle w:val="af0"/>
          <w:rFonts w:eastAsiaTheme="majorEastAsia"/>
          <w:rtl/>
        </w:rPr>
        <w:footnoteReference w:id="4"/>
      </w:r>
      <w:r>
        <w:rPr>
          <w:rtl/>
        </w:rPr>
        <w:t>.</w:t>
      </w:r>
    </w:p>
    <w:p w14:paraId="2AC382A1" w14:textId="77777777" w:rsidR="005116A3" w:rsidRPr="0088635B" w:rsidRDefault="005116A3" w:rsidP="005116A3">
      <w:pPr>
        <w:jc w:val="both"/>
        <w:rPr>
          <w:b/>
          <w:bCs/>
          <w:sz w:val="16"/>
          <w:szCs w:val="16"/>
          <w:u w:val="single"/>
        </w:rPr>
      </w:pPr>
    </w:p>
    <w:p w14:paraId="29772C76" w14:textId="77777777" w:rsidR="005116A3" w:rsidRDefault="005116A3" w:rsidP="005116A3">
      <w:pPr>
        <w:numPr>
          <w:ilvl w:val="0"/>
          <w:numId w:val="1"/>
        </w:numPr>
        <w:spacing w:after="160" w:line="360" w:lineRule="auto"/>
        <w:contextualSpacing/>
        <w:jc w:val="both"/>
      </w:pPr>
      <w:r>
        <w:rPr>
          <w:rtl/>
        </w:rPr>
        <w:lastRenderedPageBreak/>
        <w:t>נוסיף כי בהתאם לפסיקה, כשקיים ספק בדבר חריגות האירוע, יש למנות מומחה יועץ רפואי על מנת שיבחן את שאלת הקשר הסיבתי בין האירוע בעבודה לאוטם הלבבי בו לקה המבוטח כדי שלא תינעלנה דלתות בית הדין בפני המבוטח</w:t>
      </w:r>
      <w:r>
        <w:rPr>
          <w:rStyle w:val="af0"/>
          <w:rFonts w:eastAsiaTheme="majorEastAsia"/>
          <w:rtl/>
        </w:rPr>
        <w:footnoteReference w:id="5"/>
      </w:r>
      <w:r>
        <w:rPr>
          <w:rtl/>
        </w:rPr>
        <w:t>. עוד נקבע כי אין צורך בהוכחה גורפת לעצם קיומו של אירוע חריג, אלא די במידה מספקת של סבירות לקיומו של אירוע חריג</w:t>
      </w:r>
      <w:r>
        <w:rPr>
          <w:rStyle w:val="af0"/>
          <w:rFonts w:eastAsiaTheme="majorEastAsia"/>
          <w:rtl/>
        </w:rPr>
        <w:footnoteReference w:id="6"/>
      </w:r>
      <w:r>
        <w:rPr>
          <w:rtl/>
        </w:rPr>
        <w:t>.</w:t>
      </w:r>
    </w:p>
    <w:p w14:paraId="5BF179C4" w14:textId="77777777" w:rsidR="005116A3" w:rsidRPr="0088635B" w:rsidRDefault="005116A3" w:rsidP="005116A3">
      <w:pPr>
        <w:jc w:val="both"/>
        <w:rPr>
          <w:b/>
          <w:bCs/>
          <w:sz w:val="16"/>
          <w:szCs w:val="16"/>
          <w:u w:val="single"/>
        </w:rPr>
      </w:pPr>
    </w:p>
    <w:p w14:paraId="59D9384E" w14:textId="77777777" w:rsidR="005116A3" w:rsidRDefault="005116A3" w:rsidP="005116A3">
      <w:pPr>
        <w:numPr>
          <w:ilvl w:val="0"/>
          <w:numId w:val="1"/>
        </w:numPr>
        <w:spacing w:after="160" w:line="360" w:lineRule="auto"/>
        <w:contextualSpacing/>
        <w:jc w:val="both"/>
      </w:pPr>
      <w:r>
        <w:rPr>
          <w:rtl/>
        </w:rPr>
        <w:t>הלכה היא כי על מנת ש"אירוע חריג" יוכר כתאונת עבודה כמשמעה בחוק, על המבוטח להוכיח, ברמת הסתברות של מעל 50% שקיים קשר סיבתי בין ה"אירוע החריג" לבין  האירוע הלבבי</w:t>
      </w:r>
      <w:r>
        <w:rPr>
          <w:rStyle w:val="af0"/>
          <w:rFonts w:eastAsiaTheme="majorEastAsia"/>
          <w:rtl/>
        </w:rPr>
        <w:footnoteReference w:id="7"/>
      </w:r>
      <w:r>
        <w:rPr>
          <w:rtl/>
        </w:rPr>
        <w:t>. קיומו של קשר סיבתי נקבע על ידי בית הדין לאחר בחינת השאלות הרפואיות בעזרתו של מומחה-יועץ רפואי.</w:t>
      </w:r>
    </w:p>
    <w:p w14:paraId="45CCC7E5" w14:textId="77777777" w:rsidR="009F18C8" w:rsidRDefault="009F18C8" w:rsidP="009F18C8">
      <w:pPr>
        <w:pStyle w:val="a9"/>
        <w:rPr>
          <w:rFonts w:hint="cs"/>
          <w:rtl/>
        </w:rPr>
      </w:pPr>
    </w:p>
    <w:p w14:paraId="5C1D847D" w14:textId="77777777" w:rsidR="009F18C8" w:rsidRDefault="009F18C8" w:rsidP="009F18C8">
      <w:pPr>
        <w:numPr>
          <w:ilvl w:val="0"/>
          <w:numId w:val="1"/>
        </w:numPr>
        <w:spacing w:after="160" w:line="360" w:lineRule="auto"/>
        <w:contextualSpacing/>
        <w:jc w:val="both"/>
      </w:pPr>
      <w:r>
        <w:rPr>
          <w:rtl/>
        </w:rPr>
        <w:t xml:space="preserve">אם הוכח קיומו של קשר סיבתי כאמור, עובר הנטל אל המוסד לביטוח לאומי להוכיח את הקבוע בסיפא </w:t>
      </w:r>
      <w:hyperlink r:id="rId18" w:history="1">
        <w:r w:rsidRPr="00B20CA6">
          <w:rPr>
            <w:rStyle w:val="Hyperlink"/>
            <w:rFonts w:eastAsiaTheme="majorEastAsia"/>
            <w:rtl/>
          </w:rPr>
          <w:t>לסעיף 83</w:t>
        </w:r>
      </w:hyperlink>
      <w:r>
        <w:rPr>
          <w:rtl/>
        </w:rPr>
        <w:t xml:space="preserve"> לחוק. דהיינו, שהשפעת העבודה על אירוע התאונה הייתה פחותה בהרבה מהשפעת גורמים אחרים ("מאזן ההשפעות" או "שאלת היחס"). המטרה היא לבחון אם האירוע החריג תרם תרומה משמעותית להופעת האירוע הלבבי, אם לאו. גם שאלת "מאזן ההשפעות" נבחנת על ידי בית הדין לאחר בחינת השאלות הרפואיות בעזרת המומחה-היועץ הרפואי.  </w:t>
      </w:r>
    </w:p>
    <w:p w14:paraId="7370A99E" w14:textId="77777777" w:rsidR="009F18C8" w:rsidRPr="0088635B" w:rsidRDefault="009F18C8" w:rsidP="009F18C8">
      <w:pPr>
        <w:jc w:val="both"/>
        <w:rPr>
          <w:b/>
          <w:bCs/>
          <w:sz w:val="16"/>
          <w:szCs w:val="16"/>
          <w:u w:val="single"/>
          <w:rtl/>
        </w:rPr>
      </w:pPr>
    </w:p>
    <w:p w14:paraId="4427F60E" w14:textId="77777777" w:rsidR="009F18C8" w:rsidRDefault="009F18C8" w:rsidP="009F18C8">
      <w:pPr>
        <w:numPr>
          <w:ilvl w:val="0"/>
          <w:numId w:val="1"/>
        </w:numPr>
        <w:spacing w:after="160" w:line="360" w:lineRule="auto"/>
        <w:contextualSpacing/>
        <w:jc w:val="both"/>
      </w:pPr>
      <w:r>
        <w:rPr>
          <w:rtl/>
        </w:rPr>
        <w:t xml:space="preserve">לעניין "מאזן ההשפעות" נקבע שיש לבחון את מידת ההשפעה של האירוע החריג על </w:t>
      </w:r>
      <w:r>
        <w:rPr>
          <w:b/>
          <w:bCs/>
          <w:rtl/>
        </w:rPr>
        <w:t xml:space="preserve">עיתוי </w:t>
      </w:r>
      <w:r>
        <w:rPr>
          <w:rtl/>
        </w:rPr>
        <w:t xml:space="preserve">קרות האירוע הלבבי. ובלשונו של בית הדין הארצי </w:t>
      </w:r>
      <w:r>
        <w:rPr>
          <w:b/>
          <w:bCs/>
          <w:rtl/>
        </w:rPr>
        <w:t>בעניין טמיר</w:t>
      </w:r>
      <w:r>
        <w:rPr>
          <w:rStyle w:val="af0"/>
          <w:rFonts w:eastAsiaTheme="majorEastAsia"/>
          <w:rtl/>
        </w:rPr>
        <w:footnoteReference w:id="8"/>
      </w:r>
      <w:r>
        <w:rPr>
          <w:rtl/>
        </w:rPr>
        <w:t>:</w:t>
      </w:r>
    </w:p>
    <w:p w14:paraId="4C17410A" w14:textId="77777777" w:rsidR="009F18C8" w:rsidRDefault="009F18C8" w:rsidP="009F18C8">
      <w:pPr>
        <w:spacing w:after="160" w:line="360" w:lineRule="auto"/>
        <w:ind w:left="360"/>
        <w:contextualSpacing/>
        <w:jc w:val="both"/>
      </w:pPr>
      <w:r>
        <w:rPr>
          <w:b/>
          <w:bCs/>
          <w:i/>
          <w:iCs/>
          <w:sz w:val="22"/>
          <w:szCs w:val="22"/>
          <w:rtl/>
        </w:rPr>
        <w:t xml:space="preserve">"אך ורק אם עולה מתוך חוות דעת המומחה קיום קשר סיבתי בין האירוע החריג לאוטם יש להידרש </w:t>
      </w:r>
      <w:proofErr w:type="spellStart"/>
      <w:r>
        <w:rPr>
          <w:b/>
          <w:bCs/>
          <w:i/>
          <w:iCs/>
          <w:sz w:val="22"/>
          <w:szCs w:val="22"/>
          <w:rtl/>
        </w:rPr>
        <w:t>לסייפא</w:t>
      </w:r>
      <w:proofErr w:type="spellEnd"/>
      <w:r>
        <w:rPr>
          <w:b/>
          <w:bCs/>
          <w:i/>
          <w:iCs/>
          <w:sz w:val="22"/>
          <w:szCs w:val="22"/>
          <w:rtl/>
        </w:rPr>
        <w:t xml:space="preserve"> של סעיף 83 לחוק – עניין שאלת הייחס. לגבי שאלת הייחס המבחן הוא מבחן העיתוי ולא מבחן הכימוי. המבחן הינו – האם סביר להניח שהאוטם היה מתרחש במועד בו אירע גם אלמלי האירוע החריג, או שאלמלי האירוע החריג מועד התרחשותו היה נדחה למועד מאוחר יותר"</w:t>
      </w:r>
      <w:r>
        <w:rPr>
          <w:rtl/>
        </w:rPr>
        <w:t>.</w:t>
      </w:r>
    </w:p>
    <w:p w14:paraId="33270130" w14:textId="77777777" w:rsidR="009F18C8" w:rsidRPr="0088635B" w:rsidRDefault="009F18C8" w:rsidP="009F18C8">
      <w:pPr>
        <w:jc w:val="both"/>
        <w:rPr>
          <w:b/>
          <w:bCs/>
          <w:sz w:val="16"/>
          <w:szCs w:val="16"/>
          <w:u w:val="single"/>
          <w:rtl/>
        </w:rPr>
      </w:pPr>
    </w:p>
    <w:p w14:paraId="7A655F22" w14:textId="77777777" w:rsidR="009F18C8" w:rsidRDefault="009F18C8" w:rsidP="009F18C8">
      <w:pPr>
        <w:spacing w:after="160" w:line="360" w:lineRule="auto"/>
        <w:ind w:left="360"/>
        <w:contextualSpacing/>
        <w:jc w:val="both"/>
        <w:rPr>
          <w:rtl/>
        </w:rPr>
      </w:pPr>
      <w:r>
        <w:rPr>
          <w:rtl/>
        </w:rPr>
        <w:t>כלומר, אם המומחה-היועץ הרפואי קובע שסביר להניח שאירוע הלב היה מתרחש באותו פרק הזמן שבו הוא התרחש, אזי המוסד לביטוח לאומי הרים את הנטל להוכיח את מאזן ההשפעות.</w:t>
      </w:r>
    </w:p>
    <w:p w14:paraId="59F92351" w14:textId="77777777" w:rsidR="009F18C8" w:rsidRDefault="009F18C8" w:rsidP="00C913BA">
      <w:pPr>
        <w:spacing w:after="160" w:line="360" w:lineRule="auto"/>
        <w:ind w:left="360"/>
        <w:contextualSpacing/>
        <w:jc w:val="both"/>
        <w:rPr>
          <w:rtl/>
        </w:rPr>
      </w:pPr>
    </w:p>
    <w:p w14:paraId="14F82D5F" w14:textId="77777777" w:rsidR="00C913BA" w:rsidRDefault="00C913BA" w:rsidP="00C913BA">
      <w:pPr>
        <w:spacing w:after="160" w:line="360" w:lineRule="auto"/>
        <w:ind w:left="360"/>
        <w:contextualSpacing/>
        <w:jc w:val="both"/>
        <w:rPr>
          <w:rtl/>
        </w:rPr>
      </w:pPr>
    </w:p>
    <w:p w14:paraId="36D78017" w14:textId="77777777" w:rsidR="00C913BA" w:rsidRDefault="00C913BA" w:rsidP="00C913BA">
      <w:pPr>
        <w:spacing w:after="160" w:line="360" w:lineRule="auto"/>
        <w:ind w:left="360"/>
        <w:contextualSpacing/>
        <w:jc w:val="both"/>
        <w:rPr>
          <w:rtl/>
        </w:rPr>
      </w:pPr>
    </w:p>
    <w:p w14:paraId="047CC605" w14:textId="77777777" w:rsidR="00C913BA" w:rsidRDefault="00C913BA" w:rsidP="00C913BA">
      <w:pPr>
        <w:spacing w:after="160" w:line="360" w:lineRule="auto"/>
        <w:ind w:left="360"/>
        <w:contextualSpacing/>
        <w:jc w:val="both"/>
        <w:rPr>
          <w:rtl/>
        </w:rPr>
      </w:pPr>
    </w:p>
    <w:p w14:paraId="4D1561B3" w14:textId="77777777" w:rsidR="00C913BA" w:rsidRDefault="00C913BA" w:rsidP="00C913BA">
      <w:pPr>
        <w:spacing w:after="160" w:line="360" w:lineRule="auto"/>
        <w:ind w:left="360"/>
        <w:contextualSpacing/>
        <w:jc w:val="both"/>
        <w:rPr>
          <w:rtl/>
        </w:rPr>
      </w:pPr>
    </w:p>
    <w:p w14:paraId="0C687A16" w14:textId="77777777" w:rsidR="00C913BA" w:rsidRDefault="00C913BA" w:rsidP="00C913BA">
      <w:pPr>
        <w:spacing w:after="160" w:line="360" w:lineRule="auto"/>
        <w:ind w:left="360"/>
        <w:contextualSpacing/>
        <w:jc w:val="both"/>
        <w:rPr>
          <w:rtl/>
        </w:rPr>
      </w:pPr>
    </w:p>
    <w:p w14:paraId="3812C10C" w14:textId="77777777" w:rsidR="00C913BA" w:rsidRDefault="00C913BA" w:rsidP="00C913BA">
      <w:pPr>
        <w:spacing w:after="160" w:line="360" w:lineRule="auto"/>
        <w:ind w:left="360"/>
        <w:contextualSpacing/>
        <w:jc w:val="both"/>
        <w:rPr>
          <w:rtl/>
        </w:rPr>
      </w:pPr>
    </w:p>
    <w:p w14:paraId="7A7DAA7B" w14:textId="77777777" w:rsidR="00C913BA" w:rsidRDefault="00C913BA" w:rsidP="00C913BA">
      <w:pPr>
        <w:spacing w:after="160" w:line="360" w:lineRule="auto"/>
        <w:ind w:left="360"/>
        <w:contextualSpacing/>
        <w:jc w:val="both"/>
        <w:rPr>
          <w:rtl/>
        </w:rPr>
      </w:pPr>
    </w:p>
    <w:p w14:paraId="67907801" w14:textId="77777777" w:rsidR="00C913BA" w:rsidRDefault="00C913BA" w:rsidP="00C913BA">
      <w:pPr>
        <w:spacing w:after="160" w:line="360" w:lineRule="auto"/>
        <w:ind w:left="360"/>
        <w:contextualSpacing/>
        <w:jc w:val="both"/>
        <w:rPr>
          <w:rtl/>
        </w:rPr>
      </w:pPr>
    </w:p>
    <w:p w14:paraId="5E387009" w14:textId="77777777" w:rsidR="00C913BA" w:rsidRDefault="00C913BA" w:rsidP="00C913BA">
      <w:pPr>
        <w:spacing w:after="160" w:line="360" w:lineRule="auto"/>
        <w:ind w:left="360"/>
        <w:contextualSpacing/>
        <w:jc w:val="both"/>
        <w:rPr>
          <w:rtl/>
        </w:rPr>
      </w:pPr>
    </w:p>
    <w:p w14:paraId="411BCBB6" w14:textId="77777777" w:rsidR="00C913BA" w:rsidRDefault="00C913BA" w:rsidP="00C913BA">
      <w:pPr>
        <w:spacing w:after="160" w:line="360" w:lineRule="auto"/>
        <w:ind w:left="360"/>
        <w:contextualSpacing/>
        <w:jc w:val="both"/>
        <w:rPr>
          <w:rtl/>
        </w:rPr>
      </w:pPr>
    </w:p>
    <w:p w14:paraId="087A32E0" w14:textId="77777777" w:rsidR="00C913BA" w:rsidRDefault="00C913BA" w:rsidP="00C913BA">
      <w:pPr>
        <w:spacing w:after="160" w:line="360" w:lineRule="auto"/>
        <w:ind w:left="360"/>
        <w:contextualSpacing/>
        <w:jc w:val="both"/>
        <w:rPr>
          <w:rtl/>
        </w:rPr>
      </w:pPr>
    </w:p>
    <w:p w14:paraId="055159FC" w14:textId="77777777" w:rsidR="00C913BA" w:rsidRDefault="00C913BA" w:rsidP="00C913BA">
      <w:pPr>
        <w:spacing w:after="160" w:line="360" w:lineRule="auto"/>
        <w:ind w:left="360"/>
        <w:contextualSpacing/>
        <w:jc w:val="both"/>
        <w:rPr>
          <w:rtl/>
        </w:rPr>
      </w:pPr>
    </w:p>
    <w:p w14:paraId="1C087AB5" w14:textId="77777777" w:rsidR="00C913BA" w:rsidRDefault="00C913BA" w:rsidP="00C913BA">
      <w:pPr>
        <w:spacing w:after="160" w:line="360" w:lineRule="auto"/>
        <w:ind w:left="360"/>
        <w:contextualSpacing/>
        <w:jc w:val="both"/>
        <w:rPr>
          <w:rtl/>
        </w:rPr>
      </w:pPr>
    </w:p>
    <w:p w14:paraId="30844CF9" w14:textId="77777777" w:rsidR="00C913BA" w:rsidRDefault="00C913BA" w:rsidP="00C913BA">
      <w:pPr>
        <w:spacing w:after="160" w:line="360" w:lineRule="auto"/>
        <w:ind w:left="360"/>
        <w:contextualSpacing/>
        <w:jc w:val="both"/>
        <w:rPr>
          <w:rtl/>
        </w:rPr>
      </w:pPr>
    </w:p>
    <w:p w14:paraId="63A66484" w14:textId="77777777" w:rsidR="00C913BA" w:rsidRDefault="00C913BA" w:rsidP="00C913BA">
      <w:pPr>
        <w:spacing w:after="160" w:line="360" w:lineRule="auto"/>
        <w:ind w:left="360"/>
        <w:contextualSpacing/>
        <w:jc w:val="both"/>
        <w:rPr>
          <w:rtl/>
        </w:rPr>
      </w:pPr>
    </w:p>
    <w:p w14:paraId="02D0F6FA" w14:textId="77777777" w:rsidR="00C913BA" w:rsidRDefault="00C913BA" w:rsidP="00C913BA">
      <w:pPr>
        <w:spacing w:after="160" w:line="360" w:lineRule="auto"/>
        <w:ind w:left="360"/>
        <w:contextualSpacing/>
        <w:jc w:val="both"/>
        <w:rPr>
          <w:rtl/>
        </w:rPr>
      </w:pPr>
    </w:p>
    <w:p w14:paraId="758739E8" w14:textId="77777777" w:rsidR="00C913BA" w:rsidRDefault="00C913BA" w:rsidP="00C913BA">
      <w:pPr>
        <w:spacing w:after="160" w:line="360" w:lineRule="auto"/>
        <w:ind w:left="360"/>
        <w:contextualSpacing/>
        <w:jc w:val="both"/>
        <w:rPr>
          <w:rtl/>
        </w:rPr>
      </w:pPr>
    </w:p>
    <w:p w14:paraId="32785270" w14:textId="77777777" w:rsidR="00C913BA" w:rsidRDefault="00C913BA" w:rsidP="00C913BA">
      <w:pPr>
        <w:spacing w:after="160" w:line="360" w:lineRule="auto"/>
        <w:ind w:left="360"/>
        <w:contextualSpacing/>
        <w:jc w:val="both"/>
        <w:rPr>
          <w:rtl/>
        </w:rPr>
      </w:pPr>
    </w:p>
    <w:p w14:paraId="7A139554" w14:textId="77777777" w:rsidR="00C913BA" w:rsidRDefault="00C913BA" w:rsidP="00C913BA">
      <w:pPr>
        <w:spacing w:after="160" w:line="360" w:lineRule="auto"/>
        <w:ind w:left="360"/>
        <w:contextualSpacing/>
        <w:jc w:val="both"/>
        <w:rPr>
          <w:rtl/>
        </w:rPr>
      </w:pPr>
    </w:p>
    <w:p w14:paraId="3960BC48" w14:textId="77777777" w:rsidR="00C913BA" w:rsidRDefault="00C913BA" w:rsidP="00C913BA">
      <w:pPr>
        <w:spacing w:after="160" w:line="360" w:lineRule="auto"/>
        <w:ind w:left="360"/>
        <w:contextualSpacing/>
        <w:jc w:val="both"/>
        <w:rPr>
          <w:rtl/>
        </w:rPr>
      </w:pPr>
    </w:p>
    <w:p w14:paraId="32786744" w14:textId="77777777" w:rsidR="00C913BA" w:rsidRDefault="00C913BA" w:rsidP="00C913BA">
      <w:pPr>
        <w:spacing w:after="160" w:line="360" w:lineRule="auto"/>
        <w:ind w:left="360"/>
        <w:contextualSpacing/>
        <w:jc w:val="both"/>
        <w:rPr>
          <w:rtl/>
        </w:rPr>
      </w:pPr>
    </w:p>
    <w:p w14:paraId="37C1B303" w14:textId="77777777" w:rsidR="00C913BA" w:rsidRDefault="00C913BA" w:rsidP="00C913BA">
      <w:pPr>
        <w:spacing w:after="160" w:line="360" w:lineRule="auto"/>
        <w:ind w:left="360"/>
        <w:contextualSpacing/>
        <w:jc w:val="both"/>
        <w:rPr>
          <w:rtl/>
        </w:rPr>
      </w:pPr>
    </w:p>
    <w:p w14:paraId="3A1CEA94" w14:textId="77777777" w:rsidR="00C913BA" w:rsidRDefault="00C913BA" w:rsidP="00C913BA">
      <w:pPr>
        <w:spacing w:after="160" w:line="360" w:lineRule="auto"/>
        <w:ind w:left="360"/>
        <w:contextualSpacing/>
        <w:jc w:val="both"/>
        <w:rPr>
          <w:rtl/>
        </w:rPr>
      </w:pPr>
    </w:p>
    <w:p w14:paraId="37F04168" w14:textId="77777777" w:rsidR="00C913BA" w:rsidRDefault="00C913BA" w:rsidP="00C913BA">
      <w:pPr>
        <w:spacing w:after="160" w:line="360" w:lineRule="auto"/>
        <w:ind w:left="360"/>
        <w:contextualSpacing/>
        <w:jc w:val="both"/>
        <w:rPr>
          <w:rtl/>
        </w:rPr>
      </w:pPr>
    </w:p>
    <w:p w14:paraId="7573D0E0" w14:textId="77777777" w:rsidR="00C913BA" w:rsidRDefault="00C913BA" w:rsidP="00C913BA">
      <w:pPr>
        <w:spacing w:after="160" w:line="360" w:lineRule="auto"/>
        <w:ind w:left="360"/>
        <w:contextualSpacing/>
        <w:jc w:val="both"/>
        <w:rPr>
          <w:rtl/>
        </w:rPr>
      </w:pPr>
    </w:p>
    <w:p w14:paraId="4D6278E4" w14:textId="77777777" w:rsidR="00C913BA" w:rsidRDefault="00C913BA" w:rsidP="00C913BA">
      <w:pPr>
        <w:spacing w:after="160" w:line="360" w:lineRule="auto"/>
        <w:ind w:left="360"/>
        <w:contextualSpacing/>
        <w:jc w:val="both"/>
        <w:rPr>
          <w:rtl/>
        </w:rPr>
      </w:pPr>
    </w:p>
    <w:p w14:paraId="73AC92ED" w14:textId="77777777" w:rsidR="00C913BA" w:rsidRDefault="00C913BA" w:rsidP="00C913BA">
      <w:pPr>
        <w:spacing w:after="160" w:line="360" w:lineRule="auto"/>
        <w:ind w:left="360"/>
        <w:contextualSpacing/>
        <w:jc w:val="both"/>
        <w:rPr>
          <w:rtl/>
        </w:rPr>
      </w:pPr>
    </w:p>
    <w:p w14:paraId="5765340C" w14:textId="77777777" w:rsidR="00C913BA" w:rsidRDefault="00C913BA" w:rsidP="00C913BA">
      <w:pPr>
        <w:spacing w:after="160" w:line="360" w:lineRule="auto"/>
        <w:ind w:left="360"/>
        <w:contextualSpacing/>
        <w:jc w:val="both"/>
        <w:rPr>
          <w:rtl/>
        </w:rPr>
      </w:pPr>
    </w:p>
    <w:p w14:paraId="3E7CF158" w14:textId="77777777" w:rsidR="00C913BA" w:rsidRDefault="00C913BA" w:rsidP="00C913BA">
      <w:pPr>
        <w:spacing w:after="160" w:line="360" w:lineRule="auto"/>
        <w:ind w:left="360"/>
        <w:contextualSpacing/>
        <w:jc w:val="both"/>
        <w:rPr>
          <w:rtl/>
        </w:rPr>
      </w:pPr>
    </w:p>
    <w:p w14:paraId="6FAF6157" w14:textId="77777777" w:rsidR="00C913BA" w:rsidRDefault="00C913BA" w:rsidP="00C913BA">
      <w:pPr>
        <w:spacing w:after="160" w:line="360" w:lineRule="auto"/>
        <w:ind w:left="360"/>
        <w:contextualSpacing/>
        <w:jc w:val="both"/>
        <w:rPr>
          <w:rtl/>
        </w:rPr>
      </w:pPr>
    </w:p>
    <w:p w14:paraId="59F13442" w14:textId="77777777" w:rsidR="00C913BA" w:rsidRDefault="00C913BA" w:rsidP="00C913BA">
      <w:pPr>
        <w:spacing w:after="160" w:line="360" w:lineRule="auto"/>
        <w:ind w:left="360"/>
        <w:contextualSpacing/>
        <w:jc w:val="both"/>
        <w:rPr>
          <w:rtl/>
        </w:rPr>
      </w:pPr>
    </w:p>
    <w:p w14:paraId="54B20D83" w14:textId="77777777" w:rsidR="00C913BA" w:rsidRDefault="00C913BA" w:rsidP="00C913BA">
      <w:pPr>
        <w:spacing w:after="160" w:line="360" w:lineRule="auto"/>
        <w:ind w:left="360"/>
        <w:contextualSpacing/>
        <w:jc w:val="both"/>
        <w:rPr>
          <w:rtl/>
        </w:rPr>
      </w:pPr>
    </w:p>
    <w:p w14:paraId="43A1A9FD" w14:textId="77777777" w:rsidR="00C913BA" w:rsidRDefault="00C913BA" w:rsidP="00C913BA">
      <w:pPr>
        <w:spacing w:after="160" w:line="360" w:lineRule="auto"/>
        <w:ind w:left="360"/>
        <w:contextualSpacing/>
        <w:jc w:val="both"/>
        <w:rPr>
          <w:rtl/>
        </w:rPr>
      </w:pPr>
    </w:p>
    <w:p w14:paraId="3522F2FF" w14:textId="77777777" w:rsidR="00C913BA" w:rsidRDefault="00C913BA" w:rsidP="00C913BA">
      <w:pPr>
        <w:spacing w:after="160" w:line="360" w:lineRule="auto"/>
        <w:ind w:left="360"/>
        <w:contextualSpacing/>
        <w:jc w:val="both"/>
        <w:rPr>
          <w:rtl/>
        </w:rPr>
      </w:pPr>
    </w:p>
    <w:p w14:paraId="2137ADC0" w14:textId="77777777" w:rsidR="00C913BA" w:rsidRDefault="00C913BA" w:rsidP="00C913BA">
      <w:pPr>
        <w:spacing w:after="160" w:line="360" w:lineRule="auto"/>
        <w:ind w:left="360"/>
        <w:contextualSpacing/>
        <w:jc w:val="both"/>
        <w:rPr>
          <w:rtl/>
        </w:rPr>
      </w:pPr>
    </w:p>
    <w:p w14:paraId="63B1AB0F" w14:textId="77777777" w:rsidR="00C913BA" w:rsidRDefault="00C913BA" w:rsidP="00C913BA">
      <w:pPr>
        <w:spacing w:after="160" w:line="360" w:lineRule="auto"/>
        <w:ind w:left="360"/>
        <w:contextualSpacing/>
        <w:jc w:val="both"/>
        <w:rPr>
          <w:rtl/>
        </w:rPr>
      </w:pPr>
    </w:p>
    <w:p w14:paraId="3772193E" w14:textId="77777777" w:rsidR="00C913BA" w:rsidRDefault="00C913BA" w:rsidP="00C913BA">
      <w:pPr>
        <w:spacing w:after="160" w:line="360" w:lineRule="auto"/>
        <w:ind w:left="360"/>
        <w:contextualSpacing/>
        <w:jc w:val="both"/>
        <w:rPr>
          <w:rtl/>
        </w:rPr>
      </w:pPr>
    </w:p>
    <w:p w14:paraId="23B162B0" w14:textId="77777777" w:rsidR="00C913BA" w:rsidRDefault="00C913BA" w:rsidP="00C913BA">
      <w:pPr>
        <w:spacing w:after="160" w:line="360" w:lineRule="auto"/>
        <w:ind w:left="360"/>
        <w:contextualSpacing/>
        <w:jc w:val="both"/>
        <w:rPr>
          <w:rtl/>
        </w:rPr>
      </w:pPr>
    </w:p>
    <w:p w14:paraId="62EDDD12" w14:textId="77777777" w:rsidR="00C913BA" w:rsidRDefault="00C913BA" w:rsidP="00C913BA">
      <w:pPr>
        <w:spacing w:after="160" w:line="360" w:lineRule="auto"/>
        <w:ind w:left="360"/>
        <w:contextualSpacing/>
        <w:jc w:val="both"/>
        <w:rPr>
          <w:rtl/>
        </w:rPr>
      </w:pPr>
    </w:p>
    <w:p w14:paraId="6A9CFA19" w14:textId="77777777" w:rsidR="00C913BA" w:rsidRDefault="00C913BA" w:rsidP="00C913BA">
      <w:pPr>
        <w:spacing w:after="160" w:line="360" w:lineRule="auto"/>
        <w:ind w:left="360"/>
        <w:contextualSpacing/>
        <w:jc w:val="both"/>
        <w:rPr>
          <w:rtl/>
        </w:rPr>
      </w:pPr>
    </w:p>
    <w:p w14:paraId="09629156" w14:textId="77777777" w:rsidR="00C913BA" w:rsidRDefault="00C913BA" w:rsidP="00C913BA">
      <w:pPr>
        <w:spacing w:after="160" w:line="360" w:lineRule="auto"/>
        <w:ind w:left="360"/>
        <w:contextualSpacing/>
        <w:jc w:val="both"/>
        <w:rPr>
          <w:rtl/>
        </w:rPr>
      </w:pPr>
    </w:p>
    <w:p w14:paraId="14286480" w14:textId="77777777" w:rsidR="00C913BA" w:rsidRDefault="00C913BA" w:rsidP="00C913BA">
      <w:pPr>
        <w:spacing w:after="160" w:line="360" w:lineRule="auto"/>
        <w:ind w:left="360"/>
        <w:contextualSpacing/>
        <w:jc w:val="both"/>
        <w:rPr>
          <w:rtl/>
        </w:rPr>
      </w:pPr>
    </w:p>
    <w:p w14:paraId="71F41249" w14:textId="77777777" w:rsidR="00C913BA" w:rsidRDefault="00C913BA" w:rsidP="00C913BA">
      <w:pPr>
        <w:spacing w:after="160" w:line="360" w:lineRule="auto"/>
        <w:ind w:left="360"/>
        <w:contextualSpacing/>
        <w:jc w:val="both"/>
        <w:rPr>
          <w:rtl/>
        </w:rPr>
      </w:pPr>
    </w:p>
    <w:p w14:paraId="145C0B84" w14:textId="77777777" w:rsidR="00C913BA" w:rsidRDefault="00C913BA" w:rsidP="00C913BA">
      <w:pPr>
        <w:spacing w:after="160" w:line="360" w:lineRule="auto"/>
        <w:ind w:left="360"/>
        <w:contextualSpacing/>
        <w:jc w:val="both"/>
        <w:rPr>
          <w:rtl/>
        </w:rPr>
      </w:pPr>
    </w:p>
    <w:p w14:paraId="6CA6CA1B" w14:textId="77777777" w:rsidR="00C913BA" w:rsidRDefault="00C913BA" w:rsidP="00C913BA">
      <w:pPr>
        <w:spacing w:after="160" w:line="360" w:lineRule="auto"/>
        <w:ind w:left="360"/>
        <w:contextualSpacing/>
        <w:jc w:val="both"/>
        <w:rPr>
          <w:rtl/>
        </w:rPr>
      </w:pPr>
    </w:p>
    <w:p w14:paraId="1E542F54" w14:textId="77777777" w:rsidR="00C913BA" w:rsidRDefault="00C913BA" w:rsidP="00C913BA">
      <w:pPr>
        <w:spacing w:after="160" w:line="360" w:lineRule="auto"/>
        <w:ind w:left="360"/>
        <w:contextualSpacing/>
        <w:jc w:val="both"/>
        <w:rPr>
          <w:rtl/>
        </w:rPr>
      </w:pPr>
    </w:p>
    <w:p w14:paraId="3C68E96B" w14:textId="77777777" w:rsidR="00C913BA" w:rsidRDefault="00C913BA" w:rsidP="00C913BA">
      <w:pPr>
        <w:spacing w:after="160" w:line="360" w:lineRule="auto"/>
        <w:ind w:left="360"/>
        <w:contextualSpacing/>
        <w:jc w:val="both"/>
        <w:rPr>
          <w:rtl/>
        </w:rPr>
      </w:pPr>
    </w:p>
    <w:p w14:paraId="78E673A8" w14:textId="77777777" w:rsidR="00C913BA" w:rsidRDefault="00C913BA" w:rsidP="00C913BA">
      <w:pPr>
        <w:spacing w:after="160" w:line="360" w:lineRule="auto"/>
        <w:ind w:left="360"/>
        <w:contextualSpacing/>
        <w:jc w:val="both"/>
        <w:rPr>
          <w:rtl/>
        </w:rPr>
      </w:pPr>
    </w:p>
    <w:p w14:paraId="7C23BA06" w14:textId="77777777" w:rsidR="00C913BA" w:rsidRDefault="00C913BA" w:rsidP="00C913BA">
      <w:pPr>
        <w:spacing w:after="160" w:line="360" w:lineRule="auto"/>
        <w:ind w:left="360"/>
        <w:contextualSpacing/>
        <w:jc w:val="both"/>
        <w:rPr>
          <w:rtl/>
        </w:rPr>
      </w:pPr>
    </w:p>
    <w:p w14:paraId="1F23A87C" w14:textId="77777777" w:rsidR="00C913BA" w:rsidRDefault="00C913BA" w:rsidP="00C913BA">
      <w:pPr>
        <w:spacing w:after="160" w:line="360" w:lineRule="auto"/>
        <w:ind w:left="360"/>
        <w:contextualSpacing/>
        <w:jc w:val="both"/>
        <w:rPr>
          <w:rtl/>
        </w:rPr>
      </w:pPr>
    </w:p>
    <w:p w14:paraId="39D00F5C" w14:textId="77777777" w:rsidR="00C913BA" w:rsidRDefault="00C913BA" w:rsidP="00C913BA">
      <w:pPr>
        <w:spacing w:after="160" w:line="360" w:lineRule="auto"/>
        <w:ind w:left="360"/>
        <w:contextualSpacing/>
        <w:jc w:val="both"/>
        <w:rPr>
          <w:rtl/>
        </w:rPr>
      </w:pPr>
    </w:p>
    <w:p w14:paraId="1873395E" w14:textId="77777777" w:rsidR="00C913BA" w:rsidRDefault="00C913BA" w:rsidP="00C913BA">
      <w:pPr>
        <w:spacing w:after="160" w:line="360" w:lineRule="auto"/>
        <w:ind w:left="360"/>
        <w:contextualSpacing/>
        <w:jc w:val="both"/>
        <w:rPr>
          <w:rtl/>
        </w:rPr>
      </w:pPr>
    </w:p>
    <w:p w14:paraId="3ADD73CB" w14:textId="77777777" w:rsidR="00C913BA" w:rsidRDefault="00C913BA" w:rsidP="00C913BA">
      <w:pPr>
        <w:spacing w:after="160" w:line="360" w:lineRule="auto"/>
        <w:ind w:left="360"/>
        <w:contextualSpacing/>
        <w:jc w:val="both"/>
        <w:rPr>
          <w:rtl/>
        </w:rPr>
      </w:pPr>
    </w:p>
    <w:p w14:paraId="694163C4" w14:textId="77777777" w:rsidR="00C913BA" w:rsidRDefault="00C913BA" w:rsidP="00C913BA">
      <w:pPr>
        <w:spacing w:after="160" w:line="360" w:lineRule="auto"/>
        <w:ind w:left="360"/>
        <w:contextualSpacing/>
        <w:jc w:val="both"/>
        <w:rPr>
          <w:rtl/>
        </w:rPr>
      </w:pPr>
    </w:p>
    <w:p w14:paraId="0737516D" w14:textId="77777777" w:rsidR="00C913BA" w:rsidRDefault="00C913BA" w:rsidP="00C913BA">
      <w:pPr>
        <w:spacing w:after="160" w:line="360" w:lineRule="auto"/>
        <w:ind w:left="360"/>
        <w:contextualSpacing/>
        <w:jc w:val="both"/>
        <w:rPr>
          <w:rtl/>
        </w:rPr>
      </w:pPr>
    </w:p>
    <w:p w14:paraId="371EA6B1" w14:textId="77777777" w:rsidR="00C913BA" w:rsidRDefault="00C913BA" w:rsidP="00C913BA">
      <w:pPr>
        <w:spacing w:after="160" w:line="360" w:lineRule="auto"/>
        <w:ind w:left="360"/>
        <w:contextualSpacing/>
        <w:jc w:val="both"/>
        <w:rPr>
          <w:rtl/>
        </w:rPr>
      </w:pPr>
    </w:p>
    <w:p w14:paraId="11587719" w14:textId="77777777" w:rsidR="00C913BA" w:rsidRDefault="00C913BA" w:rsidP="00C913BA">
      <w:pPr>
        <w:spacing w:after="160" w:line="360" w:lineRule="auto"/>
        <w:ind w:left="360"/>
        <w:contextualSpacing/>
        <w:jc w:val="both"/>
        <w:rPr>
          <w:rtl/>
        </w:rPr>
      </w:pPr>
    </w:p>
    <w:p w14:paraId="1BB0B216" w14:textId="77777777" w:rsidR="00C913BA" w:rsidRDefault="00C913BA" w:rsidP="00C913BA">
      <w:pPr>
        <w:spacing w:after="160" w:line="360" w:lineRule="auto"/>
        <w:ind w:left="360"/>
        <w:contextualSpacing/>
        <w:jc w:val="both"/>
        <w:rPr>
          <w:rtl/>
        </w:rPr>
      </w:pPr>
    </w:p>
    <w:p w14:paraId="4ECBB3D1" w14:textId="77777777" w:rsidR="00C913BA" w:rsidRDefault="00C913BA" w:rsidP="00C913BA">
      <w:pPr>
        <w:spacing w:after="160" w:line="360" w:lineRule="auto"/>
        <w:ind w:left="360"/>
        <w:contextualSpacing/>
        <w:jc w:val="both"/>
        <w:rPr>
          <w:rtl/>
        </w:rPr>
      </w:pPr>
    </w:p>
    <w:p w14:paraId="58468882" w14:textId="77777777" w:rsidR="00C913BA" w:rsidRDefault="00C913BA" w:rsidP="00C913BA">
      <w:pPr>
        <w:spacing w:after="160" w:line="360" w:lineRule="auto"/>
        <w:ind w:left="360"/>
        <w:contextualSpacing/>
        <w:jc w:val="both"/>
        <w:rPr>
          <w:rtl/>
        </w:rPr>
      </w:pPr>
    </w:p>
    <w:p w14:paraId="206DD639" w14:textId="77777777" w:rsidR="00C913BA" w:rsidRDefault="00C913BA" w:rsidP="00C913BA">
      <w:pPr>
        <w:spacing w:after="160" w:line="360" w:lineRule="auto"/>
        <w:ind w:left="360"/>
        <w:contextualSpacing/>
        <w:jc w:val="both"/>
        <w:rPr>
          <w:rtl/>
        </w:rPr>
      </w:pPr>
    </w:p>
    <w:p w14:paraId="53AA012C" w14:textId="77777777" w:rsidR="00C913BA" w:rsidRDefault="00C913BA" w:rsidP="00C913BA">
      <w:pPr>
        <w:spacing w:after="160" w:line="360" w:lineRule="auto"/>
        <w:ind w:left="360"/>
        <w:contextualSpacing/>
        <w:jc w:val="both"/>
        <w:rPr>
          <w:rtl/>
        </w:rPr>
      </w:pPr>
    </w:p>
    <w:p w14:paraId="46E6BE91" w14:textId="77777777" w:rsidR="00C913BA" w:rsidRDefault="00C913BA" w:rsidP="00C913BA">
      <w:pPr>
        <w:spacing w:after="160" w:line="360" w:lineRule="auto"/>
        <w:ind w:left="360"/>
        <w:contextualSpacing/>
        <w:jc w:val="both"/>
        <w:rPr>
          <w:rtl/>
        </w:rPr>
      </w:pPr>
    </w:p>
    <w:p w14:paraId="5D78E9E3" w14:textId="77777777" w:rsidR="00C913BA" w:rsidRDefault="00C913BA" w:rsidP="00C913BA">
      <w:pPr>
        <w:spacing w:after="160" w:line="360" w:lineRule="auto"/>
        <w:ind w:left="360"/>
        <w:contextualSpacing/>
        <w:jc w:val="both"/>
        <w:rPr>
          <w:rtl/>
        </w:rPr>
      </w:pPr>
    </w:p>
    <w:p w14:paraId="6FBF10BA" w14:textId="77777777" w:rsidR="00C913BA" w:rsidRDefault="00C913BA" w:rsidP="00C913BA">
      <w:pPr>
        <w:spacing w:after="160" w:line="360" w:lineRule="auto"/>
        <w:ind w:left="360"/>
        <w:contextualSpacing/>
        <w:jc w:val="both"/>
        <w:rPr>
          <w:rtl/>
        </w:rPr>
      </w:pPr>
    </w:p>
    <w:p w14:paraId="4697E01B" w14:textId="77777777" w:rsidR="00C913BA" w:rsidRDefault="00C913BA" w:rsidP="00C913BA">
      <w:pPr>
        <w:spacing w:after="160" w:line="360" w:lineRule="auto"/>
        <w:ind w:left="360"/>
        <w:contextualSpacing/>
        <w:jc w:val="both"/>
        <w:rPr>
          <w:rtl/>
        </w:rPr>
      </w:pPr>
    </w:p>
    <w:p w14:paraId="1D2582AA" w14:textId="77777777" w:rsidR="00C913BA" w:rsidRDefault="00C913BA" w:rsidP="00C913BA">
      <w:pPr>
        <w:spacing w:after="160" w:line="360" w:lineRule="auto"/>
        <w:ind w:left="360"/>
        <w:contextualSpacing/>
        <w:jc w:val="both"/>
        <w:rPr>
          <w:rtl/>
        </w:rPr>
      </w:pPr>
    </w:p>
    <w:p w14:paraId="35D2862A" w14:textId="77777777" w:rsidR="00C913BA" w:rsidRDefault="00C913BA" w:rsidP="00C913BA">
      <w:pPr>
        <w:spacing w:after="160" w:line="360" w:lineRule="auto"/>
        <w:ind w:left="360"/>
        <w:contextualSpacing/>
        <w:jc w:val="both"/>
        <w:rPr>
          <w:rtl/>
        </w:rPr>
      </w:pPr>
    </w:p>
    <w:p w14:paraId="72714F9B" w14:textId="77777777" w:rsidR="00C913BA" w:rsidRDefault="00C913BA" w:rsidP="00C913BA">
      <w:pPr>
        <w:spacing w:after="160" w:line="360" w:lineRule="auto"/>
        <w:ind w:left="360"/>
        <w:contextualSpacing/>
        <w:jc w:val="both"/>
        <w:rPr>
          <w:rtl/>
        </w:rPr>
      </w:pPr>
    </w:p>
    <w:p w14:paraId="46B49FDD" w14:textId="77777777" w:rsidR="00C913BA" w:rsidRDefault="00C913BA" w:rsidP="00C913BA">
      <w:pPr>
        <w:spacing w:after="160" w:line="360" w:lineRule="auto"/>
        <w:ind w:left="360"/>
        <w:contextualSpacing/>
        <w:jc w:val="both"/>
        <w:rPr>
          <w:rtl/>
        </w:rPr>
      </w:pPr>
    </w:p>
    <w:p w14:paraId="4AEB43E4" w14:textId="77777777" w:rsidR="00C913BA" w:rsidRDefault="00C913BA" w:rsidP="00C913BA">
      <w:pPr>
        <w:spacing w:after="160" w:line="360" w:lineRule="auto"/>
        <w:ind w:left="360"/>
        <w:contextualSpacing/>
        <w:jc w:val="both"/>
        <w:rPr>
          <w:rtl/>
        </w:rPr>
      </w:pPr>
    </w:p>
    <w:p w14:paraId="6F9F198F" w14:textId="048A9981" w:rsidR="00C913BA" w:rsidRDefault="00C913BA" w:rsidP="00C913BA">
      <w:pPr>
        <w:spacing w:after="160" w:line="360" w:lineRule="auto"/>
        <w:ind w:left="360"/>
        <w:contextualSpacing/>
        <w:jc w:val="both"/>
        <w:rPr>
          <w:b/>
          <w:bCs/>
          <w:u w:val="single"/>
          <w:rtl/>
        </w:rPr>
      </w:pPr>
      <w:r>
        <w:rPr>
          <w:rFonts w:hint="cs"/>
          <w:b/>
          <w:bCs/>
          <w:u w:val="single"/>
          <w:rtl/>
        </w:rPr>
        <w:t xml:space="preserve">הקשר בין האירוע החריג לבין אירוע הלב </w:t>
      </w:r>
      <w:r>
        <w:rPr>
          <w:b/>
          <w:bCs/>
          <w:u w:val="single"/>
          <w:rtl/>
        </w:rPr>
        <w:t>–</w:t>
      </w:r>
      <w:r>
        <w:rPr>
          <w:rFonts w:hint="cs"/>
          <w:b/>
          <w:bCs/>
          <w:u w:val="single"/>
          <w:rtl/>
        </w:rPr>
        <w:t xml:space="preserve"> מבחן סמיכות הזמנים והסבר פיזיולוגי:</w:t>
      </w:r>
    </w:p>
    <w:p w14:paraId="44F5CDB2" w14:textId="77777777" w:rsidR="00C913BA" w:rsidRDefault="00C913BA" w:rsidP="00C913BA">
      <w:pPr>
        <w:pStyle w:val="31"/>
        <w:spacing w:line="240" w:lineRule="auto"/>
        <w:ind w:left="1440" w:right="1134" w:firstLine="0"/>
        <w:rPr>
          <w:rtl/>
        </w:rPr>
      </w:pPr>
      <w:r>
        <w:rPr>
          <w:rtl/>
        </w:rPr>
        <w:t>"</w:t>
      </w:r>
      <w:r>
        <w:rPr>
          <w:b/>
          <w:bCs/>
          <w:rtl/>
        </w:rPr>
        <w:t>...קיומו של קשר סיבתי בין האירוע בעבודה לאוטם שריר הלב אין פירושו בהכרח כי השפעתו על האוטם לא הייתה פחותה בהרבה מהשפעת גורמיו האחרים, שהרי אחרת הוראות סעיף 83 סיפה ל</w:t>
      </w:r>
      <w:hyperlink r:id="rId19" w:history="1">
        <w:r w:rsidRPr="00DA55D1">
          <w:rPr>
            <w:b/>
            <w:bCs/>
            <w:color w:val="0000FF"/>
            <w:u w:val="single"/>
            <w:rtl/>
          </w:rPr>
          <w:t>חוק הביטוח הלאומי</w:t>
        </w:r>
      </w:hyperlink>
      <w:r>
        <w:rPr>
          <w:b/>
          <w:bCs/>
          <w:rtl/>
        </w:rPr>
        <w:t xml:space="preserve"> מתייתרת. </w:t>
      </w:r>
      <w:r>
        <w:rPr>
          <w:b/>
          <w:bCs/>
          <w:u w:val="single"/>
          <w:rtl/>
        </w:rPr>
        <w:t>שאלת היחס על פי סעיף 83 סיפה ל</w:t>
      </w:r>
      <w:hyperlink r:id="rId20" w:history="1">
        <w:r w:rsidRPr="00DA55D1">
          <w:rPr>
            <w:b/>
            <w:bCs/>
            <w:color w:val="0000FF"/>
            <w:u w:val="single"/>
            <w:rtl/>
          </w:rPr>
          <w:t>חוק הביטוח הלאומי</w:t>
        </w:r>
      </w:hyperlink>
      <w:r>
        <w:rPr>
          <w:b/>
          <w:bCs/>
          <w:u w:val="single"/>
          <w:rtl/>
        </w:rPr>
        <w:t xml:space="preserve"> מחייבת פנייה לייעוץ רפואי, שכן רק רופא יכול להעריך מידת השפעת אירוע חיצוני - האירוע בעבודה - על ההליכים פיזיולוגיים פנימיים בגופו של הנפגע</w:t>
      </w:r>
      <w:r>
        <w:rPr>
          <w:b/>
          <w:bCs/>
          <w:rtl/>
        </w:rPr>
        <w:t xml:space="preserve"> - אוטם שריר הלב, וזאת עוד בהשוואה להשפעת הגורמים האחרים על קרות האוטם.</w:t>
      </w:r>
      <w:r>
        <w:rPr>
          <w:rtl/>
        </w:rPr>
        <w:t>" (</w:t>
      </w:r>
      <w:hyperlink r:id="rId21" w:history="1">
        <w:r w:rsidRPr="00DA55D1">
          <w:rPr>
            <w:color w:val="0000FF"/>
            <w:u w:val="single"/>
            <w:rtl/>
          </w:rPr>
          <w:t>עב"ל (ארצי) 481/99</w:t>
        </w:r>
      </w:hyperlink>
      <w:r>
        <w:rPr>
          <w:rtl/>
        </w:rPr>
        <w:t xml:space="preserve"> </w:t>
      </w:r>
      <w:r>
        <w:rPr>
          <w:b/>
          <w:bCs/>
          <w:rtl/>
        </w:rPr>
        <w:t xml:space="preserve">המוסד לביטוח לאומי - דוד </w:t>
      </w:r>
      <w:proofErr w:type="spellStart"/>
      <w:r>
        <w:rPr>
          <w:b/>
          <w:bCs/>
          <w:rtl/>
        </w:rPr>
        <w:t>מכלוביץ</w:t>
      </w:r>
      <w:proofErr w:type="spellEnd"/>
      <w:r>
        <w:rPr>
          <w:b/>
          <w:bCs/>
          <w:rtl/>
        </w:rPr>
        <w:t>'</w:t>
      </w:r>
      <w:r>
        <w:rPr>
          <w:rtl/>
        </w:rPr>
        <w:t xml:space="preserve">, </w:t>
      </w:r>
      <w:proofErr w:type="spellStart"/>
      <w:r>
        <w:rPr>
          <w:rtl/>
        </w:rPr>
        <w:t>פד"ע</w:t>
      </w:r>
      <w:proofErr w:type="spellEnd"/>
      <w:r>
        <w:rPr>
          <w:rtl/>
        </w:rPr>
        <w:t xml:space="preserve"> לח 461 (2003) ; הדגשה שלי - </w:t>
      </w:r>
      <w:proofErr w:type="spellStart"/>
      <w:r>
        <w:rPr>
          <w:rtl/>
        </w:rPr>
        <w:t>י.א.ש</w:t>
      </w:r>
      <w:proofErr w:type="spellEnd"/>
      <w:r>
        <w:rPr>
          <w:rtl/>
        </w:rPr>
        <w:t>.).</w:t>
      </w:r>
    </w:p>
    <w:p w14:paraId="24E111A3" w14:textId="77777777" w:rsidR="00C913BA" w:rsidRDefault="00C913BA" w:rsidP="00C913BA">
      <w:pPr>
        <w:pStyle w:val="31"/>
        <w:ind w:right="1134"/>
        <w:rPr>
          <w:rtl/>
        </w:rPr>
      </w:pPr>
    </w:p>
    <w:p w14:paraId="696E6A3C" w14:textId="77777777" w:rsidR="00C913BA" w:rsidRDefault="00C913BA" w:rsidP="00C913BA">
      <w:pPr>
        <w:pStyle w:val="31"/>
        <w:rPr>
          <w:rtl/>
        </w:rPr>
      </w:pPr>
      <w:r>
        <w:rPr>
          <w:rtl/>
        </w:rPr>
        <w:tab/>
      </w:r>
      <w:r>
        <w:rPr>
          <w:rFonts w:hint="cs"/>
          <w:rtl/>
        </w:rPr>
        <w:t>קבלת עמדת התובע כי די בסמיכות הזמנים בין האירוע שהוכר כחריג לבין האירוע הלבבי, מאיינת למעשה את הצורך במינוי מומחה רפואי כל אימת שנקבעת סמיכות זמנים. לעמדה זו, אין כל יסוד.</w:t>
      </w:r>
    </w:p>
    <w:p w14:paraId="4BEE7FB3" w14:textId="77777777" w:rsidR="00C913BA" w:rsidRDefault="00C913BA" w:rsidP="00C913BA">
      <w:pPr>
        <w:pStyle w:val="31"/>
        <w:rPr>
          <w:rtl/>
        </w:rPr>
      </w:pPr>
      <w:r>
        <w:rPr>
          <w:rtl/>
        </w:rPr>
        <w:t xml:space="preserve"> </w:t>
      </w:r>
    </w:p>
    <w:p w14:paraId="17A5D231" w14:textId="77777777" w:rsidR="00C913BA" w:rsidRDefault="00C913BA" w:rsidP="00C913BA">
      <w:pPr>
        <w:pStyle w:val="31"/>
        <w:ind w:right="1134" w:firstLine="0"/>
        <w:rPr>
          <w:rtl/>
        </w:rPr>
      </w:pPr>
      <w:r>
        <w:rPr>
          <w:rtl/>
        </w:rPr>
        <w:t>ועוד נקבע:</w:t>
      </w:r>
    </w:p>
    <w:p w14:paraId="4F7D6550" w14:textId="77777777" w:rsidR="00C913BA" w:rsidRDefault="00C913BA" w:rsidP="00C913BA">
      <w:pPr>
        <w:pStyle w:val="31"/>
        <w:ind w:right="1134"/>
        <w:rPr>
          <w:rtl/>
        </w:rPr>
      </w:pPr>
      <w:r>
        <w:rPr>
          <w:rtl/>
        </w:rPr>
        <w:tab/>
      </w:r>
    </w:p>
    <w:p w14:paraId="18A47ACB" w14:textId="77777777" w:rsidR="00C913BA" w:rsidRDefault="00C913BA" w:rsidP="00C913BA">
      <w:pPr>
        <w:pStyle w:val="31"/>
        <w:spacing w:line="240" w:lineRule="auto"/>
        <w:ind w:left="1440" w:right="1134" w:firstLine="0"/>
        <w:rPr>
          <w:rtl/>
        </w:rPr>
      </w:pPr>
      <w:r>
        <w:rPr>
          <w:rtl/>
        </w:rPr>
        <w:t>"</w:t>
      </w:r>
      <w:r>
        <w:rPr>
          <w:b/>
          <w:bCs/>
          <w:rtl/>
        </w:rPr>
        <w:t xml:space="preserve">המבחן לפיו ראוי להשיב לשאלת היחס הינו מבחן סמיכות הזמנים, דהיינו </w:t>
      </w:r>
      <w:r w:rsidRPr="00D02C40">
        <w:rPr>
          <w:b/>
          <w:bCs/>
          <w:u w:val="single"/>
          <w:rtl/>
        </w:rPr>
        <w:t>הערכת המומחה את סבירות קרות האוטם אף ללא אירוע חריג בחיי העבודה, באותו פרק זמן בו הוא ארע למעשה</w:t>
      </w:r>
      <w:r>
        <w:rPr>
          <w:b/>
          <w:bCs/>
          <w:rtl/>
        </w:rPr>
        <w:t>. סמיכות זמנים כזו בין מועד הופעת האוטם למעשה למועד הופעתו המאושר ללא האירוע בעבודה מצביע על כך כי מן הבחינה המשפטית הוכח שהשפעת האירוע בעבודה על קרות האוטם הייתה פחותה בהרבה מהשפעת גורמיו האחרים."</w:t>
      </w:r>
      <w:r>
        <w:rPr>
          <w:rtl/>
        </w:rPr>
        <w:t xml:space="preserve"> (ראו </w:t>
      </w:r>
      <w:proofErr w:type="spellStart"/>
      <w:r>
        <w:rPr>
          <w:rtl/>
        </w:rPr>
        <w:t>מכלוביץ</w:t>
      </w:r>
      <w:proofErr w:type="spellEnd"/>
      <w:r>
        <w:rPr>
          <w:rtl/>
        </w:rPr>
        <w:t>' לעיל)</w:t>
      </w:r>
    </w:p>
    <w:p w14:paraId="79077138" w14:textId="77777777" w:rsidR="00C913BA" w:rsidRDefault="00C913BA" w:rsidP="00C913BA">
      <w:pPr>
        <w:pStyle w:val="31"/>
        <w:ind w:left="516" w:hanging="516"/>
        <w:rPr>
          <w:rtl/>
        </w:rPr>
      </w:pPr>
    </w:p>
    <w:p w14:paraId="2D8F6961" w14:textId="734F9737" w:rsidR="00C913BA" w:rsidRDefault="00C913BA" w:rsidP="00C913BA">
      <w:pPr>
        <w:pStyle w:val="31"/>
        <w:ind w:firstLine="0"/>
        <w:rPr>
          <w:b/>
          <w:bCs/>
          <w:rtl/>
        </w:rPr>
      </w:pPr>
      <w:r w:rsidRPr="0049297F">
        <w:rPr>
          <w:rFonts w:hint="cs"/>
          <w:b/>
          <w:bCs/>
          <w:rtl/>
        </w:rPr>
        <w:lastRenderedPageBreak/>
        <w:t xml:space="preserve">פרופ' </w:t>
      </w:r>
      <w:proofErr w:type="spellStart"/>
      <w:r w:rsidRPr="0049297F">
        <w:rPr>
          <w:rFonts w:hint="cs"/>
          <w:b/>
          <w:bCs/>
          <w:rtl/>
        </w:rPr>
        <w:t>מרמור</w:t>
      </w:r>
      <w:proofErr w:type="spellEnd"/>
      <w:r w:rsidRPr="0049297F">
        <w:rPr>
          <w:rFonts w:hint="cs"/>
          <w:rtl/>
        </w:rPr>
        <w:t xml:space="preserve"> הסביר את המנגנון הרפואי כך: </w:t>
      </w:r>
      <w:r w:rsidRPr="0049297F">
        <w:rPr>
          <w:rFonts w:hint="cs"/>
          <w:b/>
          <w:bCs/>
          <w:rtl/>
        </w:rPr>
        <w:t>"במהלך המריבה ישנו שחרור של אדרנלין</w:t>
      </w:r>
      <w:r>
        <w:rPr>
          <w:rFonts w:hint="cs"/>
          <w:b/>
          <w:bCs/>
          <w:rtl/>
        </w:rPr>
        <w:t xml:space="preserve"> להאצת הדופק, עליה בלחץ הדם, האצת זרימת הדם בצורה משמעותית ועליה </w:t>
      </w:r>
      <w:proofErr w:type="spellStart"/>
      <w:r>
        <w:rPr>
          <w:rFonts w:hint="cs"/>
          <w:b/>
          <w:bCs/>
          <w:rtl/>
        </w:rPr>
        <w:t>בקרישיות</w:t>
      </w:r>
      <w:proofErr w:type="spellEnd"/>
      <w:r>
        <w:rPr>
          <w:rFonts w:hint="cs"/>
          <w:b/>
          <w:bCs/>
          <w:rtl/>
        </w:rPr>
        <w:t xml:space="preserve"> יתר. </w:t>
      </w:r>
      <w:r w:rsidRPr="00D02C40">
        <w:rPr>
          <w:rFonts w:hint="cs"/>
          <w:b/>
          <w:bCs/>
          <w:u w:val="single"/>
          <w:rtl/>
        </w:rPr>
        <w:t xml:space="preserve">זרימת הדם המואצת גורמת לקרע ברבדים </w:t>
      </w:r>
      <w:proofErr w:type="spellStart"/>
      <w:r w:rsidRPr="00D02C40">
        <w:rPr>
          <w:rFonts w:hint="cs"/>
          <w:b/>
          <w:bCs/>
          <w:u w:val="single"/>
          <w:rtl/>
        </w:rPr>
        <w:t>טרשתיים</w:t>
      </w:r>
      <w:proofErr w:type="spellEnd"/>
      <w:r>
        <w:rPr>
          <w:rFonts w:hint="cs"/>
          <w:b/>
          <w:bCs/>
          <w:rtl/>
        </w:rPr>
        <w:t xml:space="preserve"> וכתוצאה מכך, העורק נסגר ונוצר התקף לב. </w:t>
      </w:r>
      <w:r w:rsidRPr="00967406">
        <w:rPr>
          <w:rFonts w:hint="cs"/>
          <w:b/>
          <w:bCs/>
          <w:u w:val="single"/>
          <w:rtl/>
        </w:rPr>
        <w:t>לאחר מס' שעות התנאים האלה נעלמים</w:t>
      </w:r>
      <w:r>
        <w:rPr>
          <w:rFonts w:hint="cs"/>
          <w:b/>
          <w:bCs/>
          <w:rtl/>
        </w:rPr>
        <w:t xml:space="preserve">, הדופק ולחץ הדם חוזרים לנורמה וזרימת הדם חוזרת לתקינותה. לכן </w:t>
      </w:r>
      <w:r w:rsidRPr="00967406">
        <w:rPr>
          <w:rFonts w:hint="cs"/>
          <w:b/>
          <w:bCs/>
          <w:u w:val="single"/>
          <w:rtl/>
        </w:rPr>
        <w:t>מבחינה רפואית</w:t>
      </w:r>
      <w:r>
        <w:rPr>
          <w:rFonts w:hint="cs"/>
          <w:b/>
          <w:bCs/>
          <w:rtl/>
        </w:rPr>
        <w:t xml:space="preserve">, ניתן לקשור אירוע של התקף לב שהתרחש סמוך להתקף הכעס </w:t>
      </w:r>
      <w:r w:rsidRPr="00967406">
        <w:rPr>
          <w:rFonts w:hint="cs"/>
          <w:b/>
          <w:bCs/>
          <w:u w:val="single"/>
          <w:rtl/>
        </w:rPr>
        <w:t>ולא ימים לאחר מכן</w:t>
      </w:r>
      <w:r>
        <w:rPr>
          <w:rFonts w:hint="cs"/>
          <w:rtl/>
        </w:rPr>
        <w:t xml:space="preserve">" (הדגשות שלי </w:t>
      </w:r>
      <w:r>
        <w:rPr>
          <w:rtl/>
        </w:rPr>
        <w:t>–</w:t>
      </w:r>
      <w:r>
        <w:rPr>
          <w:rFonts w:hint="cs"/>
          <w:rtl/>
        </w:rPr>
        <w:t xml:space="preserve"> </w:t>
      </w:r>
      <w:proofErr w:type="spellStart"/>
      <w:r>
        <w:rPr>
          <w:rFonts w:hint="cs"/>
          <w:rtl/>
        </w:rPr>
        <w:t>י.א.ש</w:t>
      </w:r>
      <w:proofErr w:type="spellEnd"/>
      <w:r>
        <w:rPr>
          <w:rFonts w:hint="cs"/>
          <w:rtl/>
        </w:rPr>
        <w:t>)</w:t>
      </w:r>
      <w:r>
        <w:rPr>
          <w:rFonts w:hint="cs"/>
          <w:b/>
          <w:bCs/>
          <w:rtl/>
        </w:rPr>
        <w:t xml:space="preserve">. </w:t>
      </w:r>
    </w:p>
    <w:p w14:paraId="4171C741" w14:textId="77777777" w:rsidR="00C913BA" w:rsidRDefault="00C913BA" w:rsidP="00C913BA">
      <w:pPr>
        <w:spacing w:after="160" w:line="360" w:lineRule="auto"/>
        <w:ind w:left="360"/>
        <w:contextualSpacing/>
        <w:jc w:val="both"/>
        <w:rPr>
          <w:b/>
          <w:bCs/>
          <w:u w:val="single"/>
          <w:rtl/>
        </w:rPr>
      </w:pPr>
    </w:p>
    <w:p w14:paraId="3E9BD34C" w14:textId="77777777" w:rsidR="00C23AB0" w:rsidRDefault="00C23AB0" w:rsidP="00C23AB0">
      <w:pPr>
        <w:spacing w:after="160" w:line="360" w:lineRule="auto"/>
        <w:ind w:left="662" w:hanging="142"/>
        <w:contextualSpacing/>
        <w:jc w:val="both"/>
        <w:rPr>
          <w:b/>
          <w:bCs/>
          <w:u w:val="single"/>
          <w:rtl/>
        </w:rPr>
      </w:pPr>
    </w:p>
    <w:p w14:paraId="446A95CC" w14:textId="77777777" w:rsidR="00A6046C" w:rsidRDefault="00C23AB0" w:rsidP="00C23AB0">
      <w:pPr>
        <w:spacing w:line="360" w:lineRule="auto"/>
        <w:ind w:left="662" w:right="567" w:hanging="142"/>
        <w:jc w:val="both"/>
        <w:rPr>
          <w:b/>
          <w:bCs/>
          <w:rtl/>
        </w:rPr>
      </w:pPr>
      <w:r w:rsidRPr="00016F14">
        <w:rPr>
          <w:b/>
          <w:bCs/>
          <w:rtl/>
        </w:rPr>
        <w:t xml:space="preserve">ישנן עדויות רבות  המצביעות על כך שהגורמים הרגשיים המהווים אירוע הדק מופיעים בטווח זמנים של דקות עד 24 שעות לפני שמתפתחת תמונה מלאה של אוטם שריר הלב, כך למשל תואר במחקר משנת 2005 </w:t>
      </w:r>
    </w:p>
    <w:p w14:paraId="4466B9C4" w14:textId="300B8142" w:rsidR="00C23AB0" w:rsidRPr="00016F14" w:rsidRDefault="00C23AB0" w:rsidP="00A6046C">
      <w:pPr>
        <w:bidi w:val="0"/>
        <w:spacing w:line="360" w:lineRule="auto"/>
        <w:ind w:left="662" w:right="567" w:hanging="142"/>
        <w:rPr>
          <w:b/>
          <w:bCs/>
          <w:rtl/>
        </w:rPr>
      </w:pPr>
      <w:r w:rsidRPr="00016F14">
        <w:rPr>
          <w:b/>
          <w:bCs/>
          <w:rtl/>
        </w:rPr>
        <w:t>(</w:t>
      </w:r>
      <w:r w:rsidRPr="00016F14">
        <w:rPr>
          <w:b/>
          <w:bCs/>
        </w:rPr>
        <w:t xml:space="preserve">Behavioral and Emotional </w:t>
      </w:r>
      <w:proofErr w:type="spellStart"/>
      <w:r w:rsidRPr="00016F14">
        <w:rPr>
          <w:b/>
          <w:bCs/>
        </w:rPr>
        <w:t>Triggrs</w:t>
      </w:r>
      <w:proofErr w:type="spellEnd"/>
      <w:r w:rsidRPr="00016F14">
        <w:rPr>
          <w:b/>
          <w:bCs/>
        </w:rPr>
        <w:t xml:space="preserve"> of Acute Coronary</w:t>
      </w:r>
    </w:p>
    <w:p w14:paraId="0A70B7AC" w14:textId="77777777" w:rsidR="00A6046C" w:rsidRDefault="00C23AB0" w:rsidP="00A6046C">
      <w:pPr>
        <w:bidi w:val="0"/>
        <w:spacing w:line="360" w:lineRule="auto"/>
        <w:ind w:right="567"/>
        <w:rPr>
          <w:b/>
          <w:bCs/>
        </w:rPr>
      </w:pPr>
      <w:r w:rsidRPr="00016F14">
        <w:rPr>
          <w:b/>
          <w:bCs/>
          <w:rtl/>
        </w:rPr>
        <w:tab/>
      </w:r>
      <w:r w:rsidRPr="00016F14">
        <w:rPr>
          <w:b/>
          <w:bCs/>
        </w:rPr>
        <w:t>Syndromes: A Systemic Review and Critique: PC Strike et al.</w:t>
      </w:r>
    </w:p>
    <w:p w14:paraId="7E7F8C18" w14:textId="2A75F625" w:rsidR="00A6046C" w:rsidRDefault="00C23AB0" w:rsidP="00A6046C">
      <w:pPr>
        <w:bidi w:val="0"/>
        <w:spacing w:line="360" w:lineRule="auto"/>
        <w:ind w:right="567"/>
        <w:rPr>
          <w:b/>
          <w:bCs/>
        </w:rPr>
      </w:pPr>
      <w:r w:rsidRPr="00016F14">
        <w:rPr>
          <w:b/>
          <w:bCs/>
        </w:rPr>
        <w:t xml:space="preserve"> 2005.</w:t>
      </w:r>
      <w:r w:rsidR="00A6046C">
        <w:rPr>
          <w:b/>
          <w:bCs/>
        </w:rPr>
        <w:t xml:space="preserve"> </w:t>
      </w:r>
      <w:r w:rsidRPr="00016F14">
        <w:rPr>
          <w:b/>
          <w:bCs/>
        </w:rPr>
        <w:t>Psychosomatic Medicine; 67:179-186</w:t>
      </w:r>
    </w:p>
    <w:p w14:paraId="7814BC93" w14:textId="77777777" w:rsidR="00A6046C" w:rsidRDefault="00C23AB0" w:rsidP="00A6046C">
      <w:pPr>
        <w:spacing w:line="360" w:lineRule="auto"/>
        <w:ind w:right="567"/>
        <w:jc w:val="right"/>
        <w:rPr>
          <w:b/>
          <w:bCs/>
          <w:rtl/>
        </w:rPr>
      </w:pPr>
      <w:r w:rsidRPr="00016F14">
        <w:rPr>
          <w:b/>
          <w:bCs/>
          <w:rtl/>
        </w:rPr>
        <w:t xml:space="preserve">. מחקר נוסף שבדק את הקשר בין עומס נפשי בעבודה לבין היארעות אוטם שריר הלב מצא גם הוא שכיחות גבוהה של אוטמים בטווח של עד 24 שעות ממועד העומס הנפשי. </w:t>
      </w:r>
    </w:p>
    <w:p w14:paraId="33F15BFC" w14:textId="1E9FEB5B" w:rsidR="00C23AB0" w:rsidRPr="00016F14" w:rsidRDefault="00C23AB0" w:rsidP="00390CC9">
      <w:pPr>
        <w:bidi w:val="0"/>
        <w:spacing w:line="360" w:lineRule="auto"/>
        <w:ind w:right="567"/>
        <w:rPr>
          <w:b/>
          <w:bCs/>
          <w:rtl/>
        </w:rPr>
      </w:pPr>
      <w:r w:rsidRPr="00016F14">
        <w:rPr>
          <w:b/>
          <w:bCs/>
        </w:rPr>
        <w:t>work related stressful life events and the risk of</w:t>
      </w:r>
    </w:p>
    <w:p w14:paraId="4D62ACD6" w14:textId="77777777" w:rsidR="00C23AB0" w:rsidRPr="00016F14" w:rsidRDefault="00C23AB0" w:rsidP="00390CC9">
      <w:pPr>
        <w:bidi w:val="0"/>
        <w:spacing w:line="360" w:lineRule="auto"/>
        <w:ind w:left="662" w:right="567" w:hanging="142"/>
        <w:rPr>
          <w:b/>
          <w:bCs/>
          <w:rtl/>
        </w:rPr>
      </w:pPr>
      <w:r w:rsidRPr="00016F14">
        <w:rPr>
          <w:b/>
          <w:bCs/>
        </w:rPr>
        <w:tab/>
        <w:t>Myocardial infarction. Case-control and case-crossover analyses within the</w:t>
      </w:r>
    </w:p>
    <w:p w14:paraId="5D8D62DC" w14:textId="77777777" w:rsidR="00C23AB0" w:rsidRPr="00016F14" w:rsidRDefault="00C23AB0" w:rsidP="00390CC9">
      <w:pPr>
        <w:bidi w:val="0"/>
        <w:spacing w:line="360" w:lineRule="auto"/>
        <w:ind w:left="662" w:right="567" w:hanging="142"/>
        <w:rPr>
          <w:b/>
          <w:bCs/>
        </w:rPr>
      </w:pPr>
      <w:r w:rsidRPr="00016F14">
        <w:rPr>
          <w:b/>
          <w:bCs/>
        </w:rPr>
        <w:tab/>
        <w:t xml:space="preserve">Stockholm heart epidemiology program (SHEEP). </w:t>
      </w:r>
      <w:proofErr w:type="spellStart"/>
      <w:r w:rsidRPr="00016F14">
        <w:rPr>
          <w:b/>
          <w:bCs/>
        </w:rPr>
        <w:t>jette</w:t>
      </w:r>
      <w:proofErr w:type="spellEnd"/>
      <w:r w:rsidRPr="00016F14">
        <w:rPr>
          <w:b/>
          <w:bCs/>
        </w:rPr>
        <w:t xml:space="preserve"> </w:t>
      </w:r>
      <w:proofErr w:type="spellStart"/>
      <w:r w:rsidRPr="00016F14">
        <w:rPr>
          <w:b/>
          <w:bCs/>
        </w:rPr>
        <w:t>mo"ller</w:t>
      </w:r>
      <w:proofErr w:type="spellEnd"/>
      <w:r w:rsidRPr="00016F14">
        <w:rPr>
          <w:b/>
          <w:bCs/>
        </w:rPr>
        <w:t xml:space="preserve">, </w:t>
      </w:r>
      <w:proofErr w:type="spellStart"/>
      <w:r w:rsidRPr="00016F14">
        <w:rPr>
          <w:b/>
          <w:bCs/>
        </w:rPr>
        <w:t>To"res</w:t>
      </w:r>
      <w:proofErr w:type="spellEnd"/>
      <w:r w:rsidRPr="00016F14">
        <w:rPr>
          <w:b/>
          <w:bCs/>
        </w:rPr>
        <w:t xml:space="preserve"> Theorell, </w:t>
      </w:r>
      <w:proofErr w:type="spellStart"/>
      <w:r w:rsidRPr="00016F14">
        <w:rPr>
          <w:b/>
          <w:bCs/>
        </w:rPr>
        <w:t>ulf</w:t>
      </w:r>
      <w:proofErr w:type="spellEnd"/>
      <w:r w:rsidRPr="00016F14">
        <w:rPr>
          <w:b/>
          <w:bCs/>
        </w:rPr>
        <w:t xml:space="preserve"> de Faire, Anders Ahlbom, </w:t>
      </w:r>
      <w:proofErr w:type="spellStart"/>
      <w:r w:rsidRPr="00016F14">
        <w:rPr>
          <w:b/>
          <w:bCs/>
        </w:rPr>
        <w:t>johan</w:t>
      </w:r>
      <w:proofErr w:type="spellEnd"/>
      <w:r w:rsidRPr="00016F14">
        <w:rPr>
          <w:b/>
          <w:bCs/>
        </w:rPr>
        <w:t xml:space="preserve"> Hallqvist; J Epidemiol Community Health</w:t>
      </w:r>
    </w:p>
    <w:p w14:paraId="2DFFAB98" w14:textId="141678F4" w:rsidR="00C23AB0" w:rsidRPr="00C913BA" w:rsidRDefault="00C23AB0" w:rsidP="00390CC9">
      <w:pPr>
        <w:bidi w:val="0"/>
        <w:spacing w:after="160" w:line="360" w:lineRule="auto"/>
        <w:ind w:left="662" w:hanging="142"/>
        <w:contextualSpacing/>
        <w:rPr>
          <w:b/>
          <w:bCs/>
          <w:u w:val="single"/>
        </w:rPr>
      </w:pPr>
      <w:r w:rsidRPr="00016F14">
        <w:rPr>
          <w:b/>
          <w:bCs/>
        </w:rPr>
        <w:tab/>
        <w:t>2005;59:23-30</w:t>
      </w:r>
      <w:r w:rsidRPr="00016F14">
        <w:rPr>
          <w:b/>
          <w:bCs/>
          <w:rtl/>
        </w:rPr>
        <w:t>).</w:t>
      </w:r>
    </w:p>
    <w:p w14:paraId="637E444E" w14:textId="77777777" w:rsidR="00C7376C" w:rsidRPr="005116A3" w:rsidRDefault="00C7376C" w:rsidP="00C23AB0">
      <w:pPr>
        <w:ind w:left="662" w:hanging="142"/>
        <w:jc w:val="both"/>
        <w:rPr>
          <w:rFonts w:hint="cs"/>
        </w:rPr>
      </w:pPr>
    </w:p>
    <w:sectPr w:rsidR="00C7376C" w:rsidRPr="005116A3" w:rsidSect="009F57A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BECF8" w14:textId="77777777" w:rsidR="00BC2A6E" w:rsidRDefault="00BC2A6E" w:rsidP="00CB29BD">
      <w:r>
        <w:separator/>
      </w:r>
    </w:p>
  </w:endnote>
  <w:endnote w:type="continuationSeparator" w:id="0">
    <w:p w14:paraId="5B7AAD45" w14:textId="77777777" w:rsidR="00BC2A6E" w:rsidRDefault="00BC2A6E" w:rsidP="00CB2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8D8AA" w14:textId="77777777" w:rsidR="00BC2A6E" w:rsidRDefault="00BC2A6E" w:rsidP="00CB29BD">
      <w:r>
        <w:separator/>
      </w:r>
    </w:p>
  </w:footnote>
  <w:footnote w:type="continuationSeparator" w:id="0">
    <w:p w14:paraId="5CF58299" w14:textId="77777777" w:rsidR="00BC2A6E" w:rsidRDefault="00BC2A6E" w:rsidP="00CB29BD">
      <w:r>
        <w:continuationSeparator/>
      </w:r>
    </w:p>
  </w:footnote>
  <w:footnote w:id="1">
    <w:p w14:paraId="0ADC1785" w14:textId="77777777" w:rsidR="00CB29BD" w:rsidRDefault="00CB29BD" w:rsidP="00CB29BD">
      <w:pPr>
        <w:pStyle w:val="af"/>
        <w:ind w:left="232" w:hanging="232"/>
        <w:jc w:val="both"/>
        <w:rPr>
          <w:rtl/>
        </w:rPr>
      </w:pPr>
      <w:r>
        <w:rPr>
          <w:rStyle w:val="af0"/>
        </w:rPr>
        <w:footnoteRef/>
      </w:r>
      <w:r>
        <w:rPr>
          <w:rtl/>
        </w:rPr>
        <w:t xml:space="preserve"> </w:t>
      </w:r>
      <w:r>
        <w:rPr>
          <w:rtl/>
        </w:rPr>
        <w:tab/>
      </w:r>
      <w:hyperlink r:id="rId1" w:history="1">
        <w:r w:rsidRPr="0085726D">
          <w:rPr>
            <w:color w:val="0000FF"/>
            <w:u w:val="single"/>
            <w:rtl/>
          </w:rPr>
          <w:t>עב"ל (ארצי) 502/09</w:t>
        </w:r>
      </w:hyperlink>
      <w:r>
        <w:rPr>
          <w:rtl/>
        </w:rPr>
        <w:t xml:space="preserve"> </w:t>
      </w:r>
      <w:proofErr w:type="spellStart"/>
      <w:r>
        <w:rPr>
          <w:b/>
          <w:bCs/>
          <w:rtl/>
        </w:rPr>
        <w:t>סידה</w:t>
      </w:r>
      <w:proofErr w:type="spellEnd"/>
      <w:r>
        <w:rPr>
          <w:b/>
          <w:bCs/>
          <w:rtl/>
        </w:rPr>
        <w:t xml:space="preserve"> – המוסד לביטוח לאומי</w:t>
      </w:r>
      <w:r>
        <w:rPr>
          <w:rtl/>
        </w:rPr>
        <w:t xml:space="preserve">, (21.10.2010). ראו גם: </w:t>
      </w:r>
      <w:hyperlink r:id="rId2" w:history="1">
        <w:r w:rsidRPr="0085726D">
          <w:rPr>
            <w:color w:val="0000FF"/>
            <w:u w:val="single"/>
            <w:rtl/>
          </w:rPr>
          <w:t>עב"ל (ארצי) 45023-09-11</w:t>
        </w:r>
      </w:hyperlink>
      <w:r>
        <w:rPr>
          <w:rtl/>
        </w:rPr>
        <w:t xml:space="preserve"> </w:t>
      </w:r>
      <w:r>
        <w:rPr>
          <w:b/>
          <w:bCs/>
          <w:rtl/>
        </w:rPr>
        <w:t>בירן – המוסד לביטוח לאומי</w:t>
      </w:r>
      <w:r>
        <w:rPr>
          <w:rtl/>
        </w:rPr>
        <w:t xml:space="preserve">, (4.12.2012); </w:t>
      </w:r>
      <w:hyperlink r:id="rId3" w:history="1">
        <w:r w:rsidRPr="0085726D">
          <w:rPr>
            <w:color w:val="0000FF"/>
            <w:u w:val="single"/>
            <w:rtl/>
          </w:rPr>
          <w:t>עב"ל (ארצי) 18834-02-15</w:t>
        </w:r>
      </w:hyperlink>
      <w:r>
        <w:rPr>
          <w:rtl/>
        </w:rPr>
        <w:t xml:space="preserve"> </w:t>
      </w:r>
      <w:proofErr w:type="spellStart"/>
      <w:r>
        <w:rPr>
          <w:b/>
          <w:bCs/>
          <w:rtl/>
        </w:rPr>
        <w:t>גורייבסקי</w:t>
      </w:r>
      <w:proofErr w:type="spellEnd"/>
      <w:r>
        <w:rPr>
          <w:b/>
          <w:bCs/>
          <w:rtl/>
        </w:rPr>
        <w:t xml:space="preserve"> – המוסד לביטוח לאומי</w:t>
      </w:r>
      <w:r>
        <w:rPr>
          <w:rtl/>
        </w:rPr>
        <w:t>, (17.11.2015).</w:t>
      </w:r>
    </w:p>
  </w:footnote>
  <w:footnote w:id="2">
    <w:p w14:paraId="387EEEDB" w14:textId="77777777" w:rsidR="00CB29BD" w:rsidRDefault="00CB29BD" w:rsidP="00CB29BD">
      <w:pPr>
        <w:pStyle w:val="af"/>
        <w:ind w:left="232" w:hanging="232"/>
        <w:jc w:val="both"/>
        <w:rPr>
          <w:rtl/>
        </w:rPr>
      </w:pPr>
      <w:r>
        <w:rPr>
          <w:rStyle w:val="af0"/>
        </w:rPr>
        <w:footnoteRef/>
      </w:r>
      <w:r>
        <w:rPr>
          <w:rStyle w:val="af0"/>
          <w:rtl/>
        </w:rPr>
        <w:t xml:space="preserve"> </w:t>
      </w:r>
      <w:r>
        <w:rPr>
          <w:rtl/>
        </w:rPr>
        <w:tab/>
      </w:r>
      <w:hyperlink r:id="rId4" w:history="1">
        <w:r w:rsidRPr="00185EEB">
          <w:rPr>
            <w:rStyle w:val="Hyperlink"/>
            <w:b/>
            <w:bCs/>
            <w:rtl/>
          </w:rPr>
          <w:t xml:space="preserve">עב"ל (ארצי) 56029-09-11 המוסד </w:t>
        </w:r>
      </w:hyperlink>
      <w:r>
        <w:rPr>
          <w:b/>
          <w:bCs/>
          <w:rtl/>
        </w:rPr>
        <w:t xml:space="preserve"> לביטוח לאומי - </w:t>
      </w:r>
      <w:proofErr w:type="spellStart"/>
      <w:r>
        <w:rPr>
          <w:b/>
          <w:bCs/>
          <w:rtl/>
        </w:rPr>
        <w:t>תשתש</w:t>
      </w:r>
      <w:proofErr w:type="spellEnd"/>
      <w:r>
        <w:rPr>
          <w:rtl/>
        </w:rPr>
        <w:t>, (9.10.2012).</w:t>
      </w:r>
    </w:p>
  </w:footnote>
  <w:footnote w:id="3">
    <w:p w14:paraId="7D51FBF2" w14:textId="77777777" w:rsidR="005116A3" w:rsidRDefault="005116A3" w:rsidP="005116A3">
      <w:pPr>
        <w:pStyle w:val="af"/>
        <w:ind w:left="232" w:hanging="232"/>
        <w:jc w:val="both"/>
        <w:rPr>
          <w:rtl/>
        </w:rPr>
      </w:pPr>
      <w:r>
        <w:rPr>
          <w:rStyle w:val="af0"/>
        </w:rPr>
        <w:footnoteRef/>
      </w:r>
      <w:r>
        <w:rPr>
          <w:rStyle w:val="af0"/>
          <w:rtl/>
        </w:rPr>
        <w:t xml:space="preserve"> </w:t>
      </w:r>
      <w:r>
        <w:rPr>
          <w:rtl/>
        </w:rPr>
        <w:tab/>
      </w:r>
      <w:proofErr w:type="spellStart"/>
      <w:r>
        <w:rPr>
          <w:rtl/>
        </w:rPr>
        <w:t>דב"ע</w:t>
      </w:r>
      <w:proofErr w:type="spellEnd"/>
      <w:r>
        <w:rPr>
          <w:rtl/>
        </w:rPr>
        <w:t xml:space="preserve"> (ארצי) נד/143 – 0 </w:t>
      </w:r>
      <w:r>
        <w:rPr>
          <w:b/>
          <w:bCs/>
          <w:rtl/>
        </w:rPr>
        <w:t>ניב – המוסד לביטוח לאומי</w:t>
      </w:r>
      <w:r>
        <w:rPr>
          <w:rtl/>
        </w:rPr>
        <w:t xml:space="preserve">, </w:t>
      </w:r>
      <w:proofErr w:type="spellStart"/>
      <w:r>
        <w:rPr>
          <w:rtl/>
        </w:rPr>
        <w:t>פד"ע</w:t>
      </w:r>
      <w:proofErr w:type="spellEnd"/>
      <w:r>
        <w:rPr>
          <w:rtl/>
        </w:rPr>
        <w:t xml:space="preserve"> </w:t>
      </w:r>
      <w:proofErr w:type="spellStart"/>
      <w:r>
        <w:rPr>
          <w:rtl/>
        </w:rPr>
        <w:t>כח</w:t>
      </w:r>
      <w:proofErr w:type="spellEnd"/>
      <w:r>
        <w:rPr>
          <w:rtl/>
        </w:rPr>
        <w:t xml:space="preserve"> 143 (25.1.1995).</w:t>
      </w:r>
    </w:p>
  </w:footnote>
  <w:footnote w:id="4">
    <w:p w14:paraId="4D3B7D88" w14:textId="77777777" w:rsidR="005116A3" w:rsidRDefault="005116A3" w:rsidP="005116A3">
      <w:pPr>
        <w:pStyle w:val="af"/>
        <w:ind w:left="232" w:hanging="232"/>
        <w:jc w:val="both"/>
        <w:rPr>
          <w:rtl/>
        </w:rPr>
      </w:pPr>
      <w:r>
        <w:rPr>
          <w:rStyle w:val="af0"/>
        </w:rPr>
        <w:footnoteRef/>
      </w:r>
      <w:r>
        <w:rPr>
          <w:rStyle w:val="af0"/>
          <w:rtl/>
        </w:rPr>
        <w:t xml:space="preserve"> </w:t>
      </w:r>
      <w:r>
        <w:rPr>
          <w:rtl/>
        </w:rPr>
        <w:tab/>
      </w:r>
      <w:hyperlink r:id="rId5" w:history="1">
        <w:r w:rsidRPr="0085726D">
          <w:rPr>
            <w:color w:val="0000FF"/>
            <w:u w:val="single"/>
            <w:rtl/>
          </w:rPr>
          <w:t>עב"ל (ארצי) 306/03</w:t>
        </w:r>
      </w:hyperlink>
      <w:r>
        <w:rPr>
          <w:rtl/>
        </w:rPr>
        <w:t xml:space="preserve"> </w:t>
      </w:r>
      <w:r>
        <w:rPr>
          <w:b/>
          <w:bCs/>
          <w:rtl/>
        </w:rPr>
        <w:t>נדב – המוסד לביטוח לאומי</w:t>
      </w:r>
      <w:r>
        <w:rPr>
          <w:rtl/>
        </w:rPr>
        <w:t>, (6.4.2006).</w:t>
      </w:r>
    </w:p>
  </w:footnote>
  <w:footnote w:id="5">
    <w:p w14:paraId="7E4BA5BE" w14:textId="77777777" w:rsidR="005116A3" w:rsidRDefault="005116A3" w:rsidP="005116A3">
      <w:pPr>
        <w:pStyle w:val="af"/>
        <w:ind w:left="232" w:hanging="232"/>
        <w:jc w:val="both"/>
        <w:rPr>
          <w:rtl/>
        </w:rPr>
      </w:pPr>
      <w:r>
        <w:rPr>
          <w:rStyle w:val="af0"/>
        </w:rPr>
        <w:footnoteRef/>
      </w:r>
      <w:r>
        <w:rPr>
          <w:rStyle w:val="af0"/>
          <w:rtl/>
        </w:rPr>
        <w:t xml:space="preserve"> </w:t>
      </w:r>
      <w:r>
        <w:rPr>
          <w:rtl/>
        </w:rPr>
        <w:tab/>
      </w:r>
      <w:hyperlink r:id="rId6" w:history="1">
        <w:r w:rsidRPr="0085726D">
          <w:rPr>
            <w:color w:val="0000FF"/>
            <w:u w:val="single"/>
            <w:rtl/>
          </w:rPr>
          <w:t>עב"ל (ארצי) 14882-12-12</w:t>
        </w:r>
      </w:hyperlink>
      <w:r>
        <w:rPr>
          <w:rtl/>
        </w:rPr>
        <w:t xml:space="preserve"> </w:t>
      </w:r>
      <w:proofErr w:type="spellStart"/>
      <w:r>
        <w:rPr>
          <w:b/>
          <w:bCs/>
          <w:rtl/>
        </w:rPr>
        <w:t>אסחק</w:t>
      </w:r>
      <w:proofErr w:type="spellEnd"/>
      <w:r>
        <w:rPr>
          <w:b/>
          <w:bCs/>
          <w:rtl/>
        </w:rPr>
        <w:t xml:space="preserve"> – המוסד לביטוח לאומי</w:t>
      </w:r>
      <w:r>
        <w:rPr>
          <w:rtl/>
        </w:rPr>
        <w:t xml:space="preserve">, (10.11.2014); </w:t>
      </w:r>
      <w:hyperlink r:id="rId7" w:history="1">
        <w:r w:rsidRPr="0085726D">
          <w:rPr>
            <w:color w:val="0000FF"/>
            <w:u w:val="single"/>
            <w:rtl/>
          </w:rPr>
          <w:t>עב"ל (ארצי) 481/99</w:t>
        </w:r>
      </w:hyperlink>
      <w:r>
        <w:rPr>
          <w:rtl/>
        </w:rPr>
        <w:t xml:space="preserve"> </w:t>
      </w:r>
      <w:r>
        <w:rPr>
          <w:b/>
          <w:bCs/>
          <w:rtl/>
        </w:rPr>
        <w:t xml:space="preserve">המוסד לביטוח לאומי – </w:t>
      </w:r>
      <w:proofErr w:type="spellStart"/>
      <w:r>
        <w:rPr>
          <w:b/>
          <w:bCs/>
          <w:rtl/>
        </w:rPr>
        <w:t>מכלוביץ</w:t>
      </w:r>
      <w:proofErr w:type="spellEnd"/>
      <w:r>
        <w:rPr>
          <w:b/>
          <w:bCs/>
          <w:rtl/>
        </w:rPr>
        <w:t>'</w:t>
      </w:r>
      <w:r>
        <w:rPr>
          <w:rtl/>
        </w:rPr>
        <w:t xml:space="preserve">, </w:t>
      </w:r>
      <w:proofErr w:type="spellStart"/>
      <w:r>
        <w:rPr>
          <w:rtl/>
        </w:rPr>
        <w:t>פד"ע</w:t>
      </w:r>
      <w:proofErr w:type="spellEnd"/>
      <w:r>
        <w:rPr>
          <w:rtl/>
        </w:rPr>
        <w:t xml:space="preserve"> לח 461 (2003).</w:t>
      </w:r>
    </w:p>
  </w:footnote>
  <w:footnote w:id="6">
    <w:p w14:paraId="372253F9" w14:textId="77777777" w:rsidR="005116A3" w:rsidRDefault="005116A3" w:rsidP="005116A3">
      <w:pPr>
        <w:pStyle w:val="af"/>
        <w:ind w:left="232" w:hanging="232"/>
        <w:rPr>
          <w:rtl/>
        </w:rPr>
      </w:pPr>
      <w:r>
        <w:rPr>
          <w:rStyle w:val="af0"/>
        </w:rPr>
        <w:footnoteRef/>
      </w:r>
      <w:r>
        <w:rPr>
          <w:rtl/>
        </w:rPr>
        <w:t xml:space="preserve"> </w:t>
      </w:r>
      <w:r>
        <w:rPr>
          <w:rtl/>
        </w:rPr>
        <w:tab/>
      </w:r>
      <w:hyperlink r:id="rId8" w:history="1">
        <w:r w:rsidRPr="0085726D">
          <w:rPr>
            <w:color w:val="0000FF"/>
            <w:u w:val="single"/>
            <w:rtl/>
          </w:rPr>
          <w:t>עב"ל (ארצי) 1285/04</w:t>
        </w:r>
      </w:hyperlink>
      <w:r>
        <w:rPr>
          <w:rtl/>
        </w:rPr>
        <w:t xml:space="preserve"> </w:t>
      </w:r>
      <w:proofErr w:type="spellStart"/>
      <w:r>
        <w:rPr>
          <w:b/>
          <w:bCs/>
          <w:rtl/>
        </w:rPr>
        <w:t>בנרויה</w:t>
      </w:r>
      <w:proofErr w:type="spellEnd"/>
      <w:r>
        <w:rPr>
          <w:b/>
          <w:bCs/>
          <w:rtl/>
        </w:rPr>
        <w:t xml:space="preserve"> – המוסד לביטוח לאומי</w:t>
      </w:r>
      <w:r>
        <w:rPr>
          <w:rtl/>
        </w:rPr>
        <w:t xml:space="preserve"> (5.1.2006).</w:t>
      </w:r>
    </w:p>
  </w:footnote>
  <w:footnote w:id="7">
    <w:p w14:paraId="3AFC4B4D" w14:textId="77777777" w:rsidR="005116A3" w:rsidRDefault="005116A3" w:rsidP="005116A3">
      <w:pPr>
        <w:pStyle w:val="af"/>
        <w:ind w:left="232" w:hanging="232"/>
      </w:pPr>
      <w:r>
        <w:rPr>
          <w:rStyle w:val="af0"/>
        </w:rPr>
        <w:footnoteRef/>
      </w:r>
      <w:r>
        <w:rPr>
          <w:rtl/>
        </w:rPr>
        <w:t xml:space="preserve"> </w:t>
      </w:r>
      <w:r>
        <w:rPr>
          <w:rtl/>
        </w:rPr>
        <w:tab/>
      </w:r>
      <w:hyperlink r:id="rId9" w:history="1">
        <w:r w:rsidRPr="0085726D">
          <w:rPr>
            <w:color w:val="0000FF"/>
            <w:u w:val="single"/>
            <w:rtl/>
          </w:rPr>
          <w:t>עב"ל (ארצי) 24608-12-12</w:t>
        </w:r>
      </w:hyperlink>
      <w:r>
        <w:rPr>
          <w:rtl/>
        </w:rPr>
        <w:t xml:space="preserve"> </w:t>
      </w:r>
      <w:proofErr w:type="spellStart"/>
      <w:r>
        <w:rPr>
          <w:b/>
          <w:bCs/>
          <w:rtl/>
        </w:rPr>
        <w:t>שסקין</w:t>
      </w:r>
      <w:proofErr w:type="spellEnd"/>
      <w:r>
        <w:rPr>
          <w:rtl/>
        </w:rPr>
        <w:t xml:space="preserve"> </w:t>
      </w:r>
      <w:r>
        <w:rPr>
          <w:b/>
          <w:bCs/>
          <w:rtl/>
        </w:rPr>
        <w:t>– המוסד לביטוח לאומי</w:t>
      </w:r>
      <w:r>
        <w:rPr>
          <w:rtl/>
        </w:rPr>
        <w:t>, (12.6.2014).</w:t>
      </w:r>
    </w:p>
  </w:footnote>
  <w:footnote w:id="8">
    <w:p w14:paraId="1DFF8D3F" w14:textId="77777777" w:rsidR="009F18C8" w:rsidRDefault="009F18C8" w:rsidP="009F18C8">
      <w:pPr>
        <w:pStyle w:val="af"/>
        <w:ind w:left="232" w:hanging="232"/>
        <w:rPr>
          <w:rFonts w:ascii="Times New Roman" w:hAnsi="Times New Roman"/>
        </w:rPr>
      </w:pPr>
      <w:r>
        <w:rPr>
          <w:rStyle w:val="af0"/>
        </w:rPr>
        <w:footnoteRef/>
      </w:r>
      <w:r>
        <w:rPr>
          <w:rtl/>
        </w:rPr>
        <w:t xml:space="preserve"> </w:t>
      </w:r>
      <w:r>
        <w:rPr>
          <w:rtl/>
        </w:rPr>
        <w:tab/>
      </w:r>
      <w:hyperlink r:id="rId10" w:history="1">
        <w:r w:rsidRPr="0085726D">
          <w:rPr>
            <w:color w:val="0000FF"/>
            <w:u w:val="single"/>
            <w:rtl/>
          </w:rPr>
          <w:t>עב"ל (ארצי) 52081-05-10</w:t>
        </w:r>
      </w:hyperlink>
      <w:r>
        <w:rPr>
          <w:rtl/>
        </w:rPr>
        <w:t xml:space="preserve"> </w:t>
      </w:r>
      <w:r>
        <w:rPr>
          <w:b/>
          <w:bCs/>
          <w:rtl/>
        </w:rPr>
        <w:t>טמיר – המוסד לביטוח לאומי</w:t>
      </w:r>
      <w:r>
        <w:rPr>
          <w:rtl/>
        </w:rPr>
        <w:t>, (18.11.2010).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71DC"/>
    <w:multiLevelType w:val="hybridMultilevel"/>
    <w:tmpl w:val="ADB0D00C"/>
    <w:lvl w:ilvl="0" w:tplc="4E403FAA">
      <w:start w:val="1"/>
      <w:numFmt w:val="decimal"/>
      <w:lvlText w:val="%1."/>
      <w:lvlJc w:val="left"/>
      <w:pPr>
        <w:ind w:left="720" w:hanging="360"/>
      </w:pPr>
      <w:rPr>
        <w:rFonts w:ascii="David" w:hAnsi="David" w:cs="David"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10D2AA4"/>
    <w:multiLevelType w:val="hybridMultilevel"/>
    <w:tmpl w:val="274617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3E32605"/>
    <w:multiLevelType w:val="multilevel"/>
    <w:tmpl w:val="7C5E88B8"/>
    <w:lvl w:ilvl="0">
      <w:start w:val="1"/>
      <w:numFmt w:val="decimal"/>
      <w:lvlText w:val="%1."/>
      <w:lvlJc w:val="left"/>
      <w:pPr>
        <w:tabs>
          <w:tab w:val="num" w:pos="360"/>
        </w:tabs>
        <w:ind w:left="360" w:hanging="360"/>
      </w:pPr>
      <w:rPr>
        <w:rFonts w:ascii="David" w:hAnsi="David" w:cs="David" w:hint="default"/>
        <w:i w:val="0"/>
        <w:iCs w:val="0"/>
        <w:sz w:val="24"/>
        <w:szCs w:val="24"/>
        <w:lang w:val="en-US" w:bidi="he-IL"/>
      </w:rPr>
    </w:lvl>
    <w:lvl w:ilvl="1">
      <w:start w:val="1"/>
      <w:numFmt w:val="decimal"/>
      <w:lvlText w:val="%1.%2."/>
      <w:lvlJc w:val="left"/>
      <w:pPr>
        <w:tabs>
          <w:tab w:val="num" w:pos="792"/>
        </w:tabs>
        <w:ind w:left="792" w:hanging="432"/>
      </w:pPr>
      <w:rPr>
        <w:rFonts w:ascii="David" w:hAnsi="David" w:cs="David" w:hint="default"/>
        <w:i w:val="0"/>
        <w:iCs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69192CFB"/>
    <w:multiLevelType w:val="hybridMultilevel"/>
    <w:tmpl w:val="513A80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686602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2796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9951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75115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FA"/>
    <w:rsid w:val="00013C20"/>
    <w:rsid w:val="001F27C5"/>
    <w:rsid w:val="001F58C7"/>
    <w:rsid w:val="002F2546"/>
    <w:rsid w:val="00390CC9"/>
    <w:rsid w:val="00433B08"/>
    <w:rsid w:val="004F4FFE"/>
    <w:rsid w:val="005116A3"/>
    <w:rsid w:val="005148C3"/>
    <w:rsid w:val="006A236D"/>
    <w:rsid w:val="006C6D7C"/>
    <w:rsid w:val="00775532"/>
    <w:rsid w:val="00820601"/>
    <w:rsid w:val="008B6066"/>
    <w:rsid w:val="009F18C8"/>
    <w:rsid w:val="009F57A8"/>
    <w:rsid w:val="00A5019D"/>
    <w:rsid w:val="00A6046C"/>
    <w:rsid w:val="00A907DF"/>
    <w:rsid w:val="00BC2A6E"/>
    <w:rsid w:val="00C23AB0"/>
    <w:rsid w:val="00C7376C"/>
    <w:rsid w:val="00C913BA"/>
    <w:rsid w:val="00CB29BD"/>
    <w:rsid w:val="00D11F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30A2"/>
  <w15:chartTrackingRefBased/>
  <w15:docId w15:val="{24C2CACC-B774-4C4C-9780-FB7F67385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9BD"/>
    <w:pPr>
      <w:spacing w:after="0" w:line="240" w:lineRule="auto"/>
    </w:pPr>
    <w:rPr>
      <w:rFonts w:ascii="Times New Roman" w:eastAsia="Times New Roman" w:hAnsi="Times New Roman" w:cs="David"/>
      <w:sz w:val="24"/>
      <w:szCs w:val="24"/>
      <w14:ligatures w14:val="none"/>
    </w:rPr>
  </w:style>
  <w:style w:type="paragraph" w:styleId="1">
    <w:name w:val="heading 1"/>
    <w:basedOn w:val="a"/>
    <w:next w:val="a"/>
    <w:link w:val="10"/>
    <w:uiPriority w:val="9"/>
    <w:qFormat/>
    <w:rsid w:val="00D11F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11F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11FF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11FF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11F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11FF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11FF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11FF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11FF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11FF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D11FF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D11FF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D11FFA"/>
    <w:rPr>
      <w:rFonts w:eastAsiaTheme="majorEastAsia" w:cstheme="majorBidi"/>
      <w:i/>
      <w:iCs/>
      <w:color w:val="0F4761" w:themeColor="accent1" w:themeShade="BF"/>
    </w:rPr>
  </w:style>
  <w:style w:type="character" w:customStyle="1" w:styleId="50">
    <w:name w:val="כותרת 5 תו"/>
    <w:basedOn w:val="a0"/>
    <w:link w:val="5"/>
    <w:uiPriority w:val="9"/>
    <w:semiHidden/>
    <w:rsid w:val="00D11FFA"/>
    <w:rPr>
      <w:rFonts w:eastAsiaTheme="majorEastAsia" w:cstheme="majorBidi"/>
      <w:color w:val="0F4761" w:themeColor="accent1" w:themeShade="BF"/>
    </w:rPr>
  </w:style>
  <w:style w:type="character" w:customStyle="1" w:styleId="60">
    <w:name w:val="כותרת 6 תו"/>
    <w:basedOn w:val="a0"/>
    <w:link w:val="6"/>
    <w:uiPriority w:val="9"/>
    <w:semiHidden/>
    <w:rsid w:val="00D11FFA"/>
    <w:rPr>
      <w:rFonts w:eastAsiaTheme="majorEastAsia" w:cstheme="majorBidi"/>
      <w:i/>
      <w:iCs/>
      <w:color w:val="595959" w:themeColor="text1" w:themeTint="A6"/>
    </w:rPr>
  </w:style>
  <w:style w:type="character" w:customStyle="1" w:styleId="70">
    <w:name w:val="כותרת 7 תו"/>
    <w:basedOn w:val="a0"/>
    <w:link w:val="7"/>
    <w:uiPriority w:val="9"/>
    <w:semiHidden/>
    <w:rsid w:val="00D11FFA"/>
    <w:rPr>
      <w:rFonts w:eastAsiaTheme="majorEastAsia" w:cstheme="majorBidi"/>
      <w:color w:val="595959" w:themeColor="text1" w:themeTint="A6"/>
    </w:rPr>
  </w:style>
  <w:style w:type="character" w:customStyle="1" w:styleId="80">
    <w:name w:val="כותרת 8 תו"/>
    <w:basedOn w:val="a0"/>
    <w:link w:val="8"/>
    <w:uiPriority w:val="9"/>
    <w:semiHidden/>
    <w:rsid w:val="00D11FFA"/>
    <w:rPr>
      <w:rFonts w:eastAsiaTheme="majorEastAsia" w:cstheme="majorBidi"/>
      <w:i/>
      <w:iCs/>
      <w:color w:val="272727" w:themeColor="text1" w:themeTint="D8"/>
    </w:rPr>
  </w:style>
  <w:style w:type="character" w:customStyle="1" w:styleId="90">
    <w:name w:val="כותרת 9 תו"/>
    <w:basedOn w:val="a0"/>
    <w:link w:val="9"/>
    <w:uiPriority w:val="9"/>
    <w:semiHidden/>
    <w:rsid w:val="00D11FFA"/>
    <w:rPr>
      <w:rFonts w:eastAsiaTheme="majorEastAsia" w:cstheme="majorBidi"/>
      <w:color w:val="272727" w:themeColor="text1" w:themeTint="D8"/>
    </w:rPr>
  </w:style>
  <w:style w:type="paragraph" w:styleId="a3">
    <w:name w:val="Title"/>
    <w:basedOn w:val="a"/>
    <w:next w:val="a"/>
    <w:link w:val="a4"/>
    <w:uiPriority w:val="10"/>
    <w:qFormat/>
    <w:rsid w:val="00D11FFA"/>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11F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1FF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11FF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11FFA"/>
    <w:pPr>
      <w:spacing w:before="160"/>
      <w:jc w:val="center"/>
    </w:pPr>
    <w:rPr>
      <w:i/>
      <w:iCs/>
      <w:color w:val="404040" w:themeColor="text1" w:themeTint="BF"/>
    </w:rPr>
  </w:style>
  <w:style w:type="character" w:customStyle="1" w:styleId="a8">
    <w:name w:val="ציטוט תו"/>
    <w:basedOn w:val="a0"/>
    <w:link w:val="a7"/>
    <w:uiPriority w:val="29"/>
    <w:rsid w:val="00D11FFA"/>
    <w:rPr>
      <w:i/>
      <w:iCs/>
      <w:color w:val="404040" w:themeColor="text1" w:themeTint="BF"/>
    </w:rPr>
  </w:style>
  <w:style w:type="paragraph" w:styleId="a9">
    <w:name w:val="List Paragraph"/>
    <w:basedOn w:val="a"/>
    <w:qFormat/>
    <w:rsid w:val="00D11FFA"/>
    <w:pPr>
      <w:ind w:left="720"/>
      <w:contextualSpacing/>
    </w:pPr>
  </w:style>
  <w:style w:type="character" w:styleId="aa">
    <w:name w:val="Intense Emphasis"/>
    <w:basedOn w:val="a0"/>
    <w:uiPriority w:val="21"/>
    <w:qFormat/>
    <w:rsid w:val="00D11FFA"/>
    <w:rPr>
      <w:i/>
      <w:iCs/>
      <w:color w:val="0F4761" w:themeColor="accent1" w:themeShade="BF"/>
    </w:rPr>
  </w:style>
  <w:style w:type="paragraph" w:styleId="ab">
    <w:name w:val="Intense Quote"/>
    <w:basedOn w:val="a"/>
    <w:next w:val="a"/>
    <w:link w:val="ac"/>
    <w:uiPriority w:val="30"/>
    <w:qFormat/>
    <w:rsid w:val="00D11F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D11FFA"/>
    <w:rPr>
      <w:i/>
      <w:iCs/>
      <w:color w:val="0F4761" w:themeColor="accent1" w:themeShade="BF"/>
    </w:rPr>
  </w:style>
  <w:style w:type="character" w:styleId="ad">
    <w:name w:val="Intense Reference"/>
    <w:basedOn w:val="a0"/>
    <w:uiPriority w:val="32"/>
    <w:qFormat/>
    <w:rsid w:val="00D11FFA"/>
    <w:rPr>
      <w:b/>
      <w:bCs/>
      <w:smallCaps/>
      <w:color w:val="0F4761" w:themeColor="accent1" w:themeShade="BF"/>
      <w:spacing w:val="5"/>
    </w:rPr>
  </w:style>
  <w:style w:type="character" w:styleId="Hyperlink">
    <w:name w:val="Hyperlink"/>
    <w:rsid w:val="00CB29BD"/>
    <w:rPr>
      <w:color w:val="0000FF"/>
      <w:u w:val="single"/>
    </w:rPr>
  </w:style>
  <w:style w:type="character" w:customStyle="1" w:styleId="ae">
    <w:name w:val="טקסט הערת שוליים תו"/>
    <w:aliases w:val="טקסט הערות שוליים תו תו תו תו תו תו תו תו תו תו תו1,טקסט הערות שוליים תו תו תו תו תו תו תו תו תו,טקסט הערות שוליים תו תו תו תו תו תו תו תו תו תו תו תו1,טקסט הערות שוליים תו תו תו תו תו תו תו תו תו תו תו תו תו"/>
    <w:link w:val="af"/>
    <w:locked/>
    <w:rsid w:val="00CB29BD"/>
    <w:rPr>
      <w:rFonts w:ascii="David" w:hAnsi="David" w:cs="David"/>
    </w:rPr>
  </w:style>
  <w:style w:type="paragraph" w:styleId="af">
    <w:name w:val="footnote text"/>
    <w:aliases w:val="טקסט הערות שוליים תו תו תו תו תו תו תו תו תו תו,טקסט הערות שוליים תו תו תו תו תו תו תו תו,טקסט הערות שוליים תו תו תו תו תו תו תו תו תו תו תו,טקסט הערות שוליים תו תו תו תו תו תו תו תו תו תו תו תו,טקסט הערות שוליים תו תו"/>
    <w:basedOn w:val="a"/>
    <w:link w:val="ae"/>
    <w:rsid w:val="00CB29BD"/>
    <w:rPr>
      <w:rFonts w:ascii="David" w:eastAsiaTheme="minorHAnsi" w:hAnsi="David"/>
      <w:sz w:val="22"/>
      <w:szCs w:val="22"/>
      <w14:ligatures w14:val="standardContextual"/>
    </w:rPr>
  </w:style>
  <w:style w:type="character" w:customStyle="1" w:styleId="11">
    <w:name w:val="טקסט הערת שוליים תו1"/>
    <w:basedOn w:val="a0"/>
    <w:uiPriority w:val="99"/>
    <w:semiHidden/>
    <w:rsid w:val="00CB29BD"/>
    <w:rPr>
      <w:rFonts w:ascii="Times New Roman" w:eastAsia="Times New Roman" w:hAnsi="Times New Roman" w:cs="David"/>
      <w:sz w:val="20"/>
      <w:szCs w:val="20"/>
      <w14:ligatures w14:val="none"/>
    </w:rPr>
  </w:style>
  <w:style w:type="character" w:styleId="af0">
    <w:name w:val="footnote reference"/>
    <w:rsid w:val="00CB29BD"/>
    <w:rPr>
      <w:vertAlign w:val="superscript"/>
    </w:rPr>
  </w:style>
  <w:style w:type="paragraph" w:styleId="31">
    <w:name w:val="Body Text Indent 3"/>
    <w:basedOn w:val="a"/>
    <w:link w:val="32"/>
    <w:rsid w:val="00C913BA"/>
    <w:pPr>
      <w:spacing w:line="360" w:lineRule="auto"/>
      <w:ind w:left="720" w:hanging="720"/>
      <w:jc w:val="both"/>
    </w:pPr>
    <w:rPr>
      <w:sz w:val="20"/>
      <w:lang w:eastAsia="he-IL"/>
    </w:rPr>
  </w:style>
  <w:style w:type="character" w:customStyle="1" w:styleId="32">
    <w:name w:val="כניסה בגוף טקסט 3 תו"/>
    <w:basedOn w:val="a0"/>
    <w:link w:val="31"/>
    <w:rsid w:val="00C913BA"/>
    <w:rPr>
      <w:rFonts w:ascii="Times New Roman" w:eastAsia="Times New Roman" w:hAnsi="Times New Roman" w:cs="David"/>
      <w:sz w:val="20"/>
      <w:szCs w:val="24"/>
      <w:lang w:eastAsia="he-IL"/>
      <w14:ligatures w14:val="none"/>
    </w:rPr>
  </w:style>
  <w:style w:type="paragraph" w:customStyle="1" w:styleId="12">
    <w:name w:val="פיסקת רשימה1"/>
    <w:basedOn w:val="a"/>
    <w:rsid w:val="00820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case/4245224" TargetMode="External"/><Relationship Id="rId13" Type="http://schemas.openxmlformats.org/officeDocument/2006/relationships/hyperlink" Target="http://www.nevo.co.il/case/7966050" TargetMode="External"/><Relationship Id="rId18" Type="http://schemas.openxmlformats.org/officeDocument/2006/relationships/hyperlink" Target="http://www.nevo.co.il/law/74505/83" TargetMode="External"/><Relationship Id="rId3" Type="http://schemas.openxmlformats.org/officeDocument/2006/relationships/settings" Target="settings.xml"/><Relationship Id="rId21" Type="http://schemas.openxmlformats.org/officeDocument/2006/relationships/hyperlink" Target="http://www.nevo.co.il/case/33265" TargetMode="External"/><Relationship Id="rId7" Type="http://schemas.openxmlformats.org/officeDocument/2006/relationships/hyperlink" Target="http://www.nevo.co.il/case/27958742" TargetMode="External"/><Relationship Id="rId12" Type="http://schemas.openxmlformats.org/officeDocument/2006/relationships/hyperlink" Target="http://www.nevo.co.il/links/psika/?link=&#1506;&#1489;&#1500;%200176/99" TargetMode="External"/><Relationship Id="rId17" Type="http://schemas.openxmlformats.org/officeDocument/2006/relationships/hyperlink" Target="http://www.nevo.co.il/case/20273343" TargetMode="External"/><Relationship Id="rId2" Type="http://schemas.openxmlformats.org/officeDocument/2006/relationships/styles" Target="styles.xml"/><Relationship Id="rId16" Type="http://schemas.openxmlformats.org/officeDocument/2006/relationships/hyperlink" Target="http://www.nevo.co.il/case/7966050" TargetMode="External"/><Relationship Id="rId20" Type="http://schemas.openxmlformats.org/officeDocument/2006/relationships/hyperlink" Target="http://www.nevo.co.il/law/745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vo.co.il/links/psika/?link=&#1506;&#1489;&#1500;%20458/99" TargetMode="External"/><Relationship Id="rId5" Type="http://schemas.openxmlformats.org/officeDocument/2006/relationships/footnotes" Target="footnotes.xml"/><Relationship Id="rId15" Type="http://schemas.openxmlformats.org/officeDocument/2006/relationships/hyperlink" Target="http://www.nevo.co.il/case/29294005" TargetMode="External"/><Relationship Id="rId23" Type="http://schemas.openxmlformats.org/officeDocument/2006/relationships/theme" Target="theme/theme1.xml"/><Relationship Id="rId10" Type="http://schemas.openxmlformats.org/officeDocument/2006/relationships/hyperlink" Target="http://www.nevo.co.il/case/20273343" TargetMode="External"/><Relationship Id="rId19" Type="http://schemas.openxmlformats.org/officeDocument/2006/relationships/hyperlink" Target="http://www.nevo.co.il/law/74505" TargetMode="External"/><Relationship Id="rId4" Type="http://schemas.openxmlformats.org/officeDocument/2006/relationships/webSettings" Target="webSettings.xml"/><Relationship Id="rId9" Type="http://schemas.openxmlformats.org/officeDocument/2006/relationships/hyperlink" Target="http://www.nevo.co.il/case/21563291" TargetMode="External"/><Relationship Id="rId14" Type="http://schemas.openxmlformats.org/officeDocument/2006/relationships/hyperlink" Target="http://www.nevo.co.il/case/33265"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nevo.co.il/case/2227696" TargetMode="External"/><Relationship Id="rId3" Type="http://schemas.openxmlformats.org/officeDocument/2006/relationships/hyperlink" Target="http://www.nevo.co.il/case/20014231" TargetMode="External"/><Relationship Id="rId7" Type="http://schemas.openxmlformats.org/officeDocument/2006/relationships/hyperlink" Target="http://www.nevo.co.il/case/33265" TargetMode="External"/><Relationship Id="rId2" Type="http://schemas.openxmlformats.org/officeDocument/2006/relationships/hyperlink" Target="http://www.nevo.co.il/case/4203938" TargetMode="External"/><Relationship Id="rId1" Type="http://schemas.openxmlformats.org/officeDocument/2006/relationships/hyperlink" Target="http://www.nevo.co.il/case/2432464" TargetMode="External"/><Relationship Id="rId6" Type="http://schemas.openxmlformats.org/officeDocument/2006/relationships/hyperlink" Target="http://www.nevo.co.il/case/4090114" TargetMode="External"/><Relationship Id="rId5" Type="http://schemas.openxmlformats.org/officeDocument/2006/relationships/hyperlink" Target="http://www.nevo.co.il/case/20180" TargetMode="External"/><Relationship Id="rId10" Type="http://schemas.openxmlformats.org/officeDocument/2006/relationships/hyperlink" Target="http://www.nevo.co.il/case/5074979" TargetMode="External"/><Relationship Id="rId4" Type="http://schemas.openxmlformats.org/officeDocument/2006/relationships/hyperlink" Target="http://www.nevo.co.il/case/4261966" TargetMode="External"/><Relationship Id="rId9" Type="http://schemas.openxmlformats.org/officeDocument/2006/relationships/hyperlink" Target="http://www.nevo.co.il/case/40999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1577</Words>
  <Characters>7885</Characters>
  <Application>Microsoft Office Word</Application>
  <DocSecurity>0</DocSecurity>
  <Lines>65</Lines>
  <Paragraphs>18</Paragraphs>
  <ScaleCrop>false</ScaleCrop>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17</cp:revision>
  <dcterms:created xsi:type="dcterms:W3CDTF">2025-07-06T09:08:00Z</dcterms:created>
  <dcterms:modified xsi:type="dcterms:W3CDTF">2025-07-06T09:46:00Z</dcterms:modified>
</cp:coreProperties>
</file>