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92015" w14:textId="7EAF1613" w:rsidR="00D84EB7" w:rsidRPr="008F2304"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 xml:space="preserve">בית משפט השלום </w:t>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r>
      <w:r>
        <w:rPr>
          <w:rFonts w:cs="David" w:hint="cs"/>
          <w:b/>
          <w:bCs/>
          <w:rtl/>
        </w:rPr>
        <w:tab/>
        <w:t xml:space="preserve">ע"נ </w:t>
      </w:r>
      <w:r w:rsidR="00D5655F">
        <w:rPr>
          <w:rFonts w:cs="David" w:hint="cs"/>
          <w:b/>
          <w:bCs/>
          <w:rtl/>
        </w:rPr>
        <w:t>1749-10-24</w:t>
      </w:r>
    </w:p>
    <w:p w14:paraId="3C90A670" w14:textId="77777777" w:rsidR="00D84EB7" w:rsidRPr="008F2304"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בשבתו כועדה לערעורים עפ"י חוק הנכים</w:t>
      </w:r>
      <w:r>
        <w:rPr>
          <w:rFonts w:cs="David" w:hint="cs"/>
          <w:b/>
          <w:bCs/>
          <w:rtl/>
        </w:rPr>
        <w:tab/>
      </w:r>
      <w:r>
        <w:rPr>
          <w:rFonts w:cs="David" w:hint="cs"/>
          <w:b/>
          <w:bCs/>
          <w:rtl/>
        </w:rPr>
        <w:tab/>
      </w:r>
      <w:r>
        <w:rPr>
          <w:rFonts w:cs="David" w:hint="cs"/>
          <w:b/>
          <w:bCs/>
          <w:rtl/>
        </w:rPr>
        <w:tab/>
      </w:r>
      <w:r>
        <w:rPr>
          <w:rFonts w:cs="David" w:hint="cs"/>
          <w:b/>
          <w:bCs/>
          <w:rtl/>
        </w:rPr>
        <w:tab/>
      </w:r>
      <w:r w:rsidRPr="001C76B5">
        <w:rPr>
          <w:rFonts w:cs="David" w:hint="cs"/>
          <w:b/>
          <w:bCs/>
          <w:u w:val="single"/>
          <w:rtl/>
        </w:rPr>
        <w:t>בפני כב' השופט י.צור</w:t>
      </w:r>
    </w:p>
    <w:p w14:paraId="144DE43E"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hint="cs"/>
          <w:b/>
          <w:bCs/>
          <w:u w:val="single"/>
          <w:rtl/>
        </w:rPr>
        <w:t>בירושלים</w:t>
      </w:r>
      <w:r w:rsidRPr="008F2304">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r>
        <w:rPr>
          <w:rFonts w:cs="David" w:hint="cs"/>
          <w:rtl/>
        </w:rPr>
        <w:tab/>
      </w:r>
    </w:p>
    <w:p w14:paraId="0B39D1EE" w14:textId="37031E8F" w:rsidR="006B2DA3" w:rsidRDefault="00BB5EC8"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rtl/>
        </w:rPr>
        <w:t xml:space="preserve">תאריך חתימת המסמך: </w:t>
      </w:r>
      <w:r w:rsidR="00D5655F">
        <w:rPr>
          <w:rFonts w:cs="David" w:hint="cs"/>
          <w:rtl/>
        </w:rPr>
        <w:t>31.12.24</w:t>
      </w:r>
    </w:p>
    <w:p w14:paraId="44373BCD" w14:textId="77777777" w:rsidR="00D84EB7" w:rsidRDefault="00D84EB7" w:rsidP="006B2DA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hint="cs"/>
          <w:rtl/>
        </w:rPr>
        <w:tab/>
      </w:r>
      <w:r w:rsidRPr="008F2304">
        <w:rPr>
          <w:rFonts w:cs="David" w:hint="cs"/>
          <w:rtl/>
        </w:rPr>
        <w:tab/>
      </w:r>
      <w:r w:rsidRPr="008F2304">
        <w:rPr>
          <w:rFonts w:cs="David" w:hint="cs"/>
          <w:rtl/>
        </w:rPr>
        <w:tab/>
      </w:r>
    </w:p>
    <w:p w14:paraId="15FE04FC"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tl/>
        </w:rPr>
      </w:pPr>
      <w:r w:rsidRPr="008F2304">
        <w:rPr>
          <w:rFonts w:cs="David"/>
          <w:b/>
          <w:bCs/>
          <w:rtl/>
        </w:rPr>
        <w:t>ה</w:t>
      </w:r>
      <w:r w:rsidRPr="008F2304">
        <w:rPr>
          <w:rFonts w:cs="David" w:hint="cs"/>
          <w:b/>
          <w:bCs/>
          <w:rtl/>
        </w:rPr>
        <w:t>מערער</w:t>
      </w:r>
      <w:r>
        <w:rPr>
          <w:rFonts w:cs="David" w:hint="cs"/>
          <w:b/>
          <w:bCs/>
          <w:rtl/>
        </w:rPr>
        <w:t>:</w:t>
      </w:r>
      <w:r w:rsidRPr="008F2304">
        <w:rPr>
          <w:rFonts w:cs="David"/>
        </w:rPr>
        <w:tab/>
      </w:r>
      <w:r w:rsidRPr="008F2304">
        <w:rPr>
          <w:rFonts w:cs="David" w:hint="cs"/>
          <w:rtl/>
        </w:rPr>
        <w:tab/>
      </w:r>
      <w:r w:rsidRPr="008F2304">
        <w:rPr>
          <w:rFonts w:cs="David" w:hint="cs"/>
          <w:b/>
          <w:bCs/>
          <w:sz w:val="26"/>
          <w:szCs w:val="26"/>
          <w:rtl/>
        </w:rPr>
        <w:t>דורון טלמור, ת.ז. 028638526</w:t>
      </w:r>
      <w:r w:rsidRPr="008F2304">
        <w:rPr>
          <w:rFonts w:cs="David" w:hint="cs"/>
          <w:sz w:val="26"/>
          <w:szCs w:val="26"/>
          <w:rtl/>
        </w:rPr>
        <w:t xml:space="preserve"> </w:t>
      </w:r>
      <w:r w:rsidRPr="008F2304">
        <w:rPr>
          <w:rFonts w:cs="David"/>
          <w:sz w:val="26"/>
          <w:szCs w:val="26"/>
          <w:rtl/>
        </w:rPr>
        <w:t xml:space="preserve"> </w:t>
      </w:r>
    </w:p>
    <w:p w14:paraId="4D120566" w14:textId="77777777" w:rsidR="00D84EB7" w:rsidRPr="000178BF"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Pr>
      </w:pPr>
      <w:r w:rsidRPr="000178BF">
        <w:rPr>
          <w:rFonts w:cs="David"/>
          <w:sz w:val="26"/>
          <w:szCs w:val="26"/>
        </w:rPr>
        <w:tab/>
      </w:r>
      <w:r w:rsidRPr="000178BF">
        <w:rPr>
          <w:rFonts w:cs="David"/>
          <w:sz w:val="26"/>
          <w:szCs w:val="26"/>
        </w:rPr>
        <w:tab/>
      </w:r>
      <w:r w:rsidRPr="000178BF">
        <w:rPr>
          <w:rFonts w:cs="David"/>
          <w:sz w:val="26"/>
          <w:szCs w:val="26"/>
        </w:rPr>
        <w:tab/>
      </w:r>
      <w:r w:rsidRPr="000178BF">
        <w:rPr>
          <w:rFonts w:cs="David"/>
          <w:sz w:val="26"/>
          <w:szCs w:val="26"/>
          <w:rtl/>
        </w:rPr>
        <w:t xml:space="preserve">באמצעות </w:t>
      </w:r>
      <w:r w:rsidRPr="000178BF">
        <w:rPr>
          <w:rFonts w:cs="David" w:hint="cs"/>
          <w:sz w:val="26"/>
          <w:szCs w:val="26"/>
          <w:rtl/>
        </w:rPr>
        <w:t xml:space="preserve">ב"כ </w:t>
      </w:r>
      <w:r w:rsidRPr="000178BF">
        <w:rPr>
          <w:rFonts w:cs="David"/>
          <w:sz w:val="26"/>
          <w:szCs w:val="26"/>
          <w:rtl/>
        </w:rPr>
        <w:t>עו</w:t>
      </w:r>
      <w:r w:rsidRPr="000178BF">
        <w:rPr>
          <w:rFonts w:cs="David" w:hint="cs"/>
          <w:sz w:val="26"/>
          <w:szCs w:val="26"/>
          <w:rtl/>
        </w:rPr>
        <w:t>ה</w:t>
      </w:r>
      <w:r w:rsidRPr="000178BF">
        <w:rPr>
          <w:rFonts w:cs="David"/>
          <w:sz w:val="26"/>
          <w:szCs w:val="26"/>
          <w:rtl/>
        </w:rPr>
        <w:t xml:space="preserve">"ד </w:t>
      </w:r>
      <w:r w:rsidRPr="000178BF">
        <w:rPr>
          <w:rFonts w:cs="David" w:hint="cs"/>
          <w:sz w:val="26"/>
          <w:szCs w:val="26"/>
          <w:rtl/>
        </w:rPr>
        <w:t>אריאל פרייברג ו/או ניצן בן צבי</w:t>
      </w:r>
    </w:p>
    <w:p w14:paraId="27139B34" w14:textId="1F4A5D65" w:rsidR="00B86E1C" w:rsidRPr="00D32E62" w:rsidRDefault="00D84EB7" w:rsidP="00B86E1C">
      <w:pPr>
        <w:pStyle w:val="a6"/>
        <w:rPr>
          <w:rFonts w:ascii="David" w:hAnsi="David"/>
          <w:sz w:val="26"/>
          <w:szCs w:val="26"/>
          <w:rtl/>
        </w:rPr>
      </w:pPr>
      <w:r w:rsidRPr="000178BF">
        <w:rPr>
          <w:sz w:val="26"/>
          <w:szCs w:val="26"/>
        </w:rPr>
        <w:tab/>
      </w:r>
      <w:r w:rsidR="00B86E1C">
        <w:rPr>
          <w:sz w:val="26"/>
          <w:szCs w:val="26"/>
          <w:rtl/>
        </w:rPr>
        <w:tab/>
      </w:r>
      <w:r w:rsidR="00B86E1C" w:rsidRPr="00D32E62">
        <w:rPr>
          <w:rFonts w:ascii="David" w:hAnsi="David" w:hint="cs"/>
          <w:sz w:val="26"/>
          <w:szCs w:val="26"/>
          <w:rtl/>
        </w:rPr>
        <w:t>מרח' אבא הלל 7 , רמת גן</w:t>
      </w:r>
    </w:p>
    <w:p w14:paraId="3635E1E6" w14:textId="77777777" w:rsidR="00B86E1C" w:rsidRPr="00D32E62" w:rsidRDefault="00B86E1C" w:rsidP="00B86E1C">
      <w:pPr>
        <w:pStyle w:val="a6"/>
        <w:rPr>
          <w:rFonts w:ascii="David" w:hAnsi="David"/>
          <w:sz w:val="26"/>
          <w:szCs w:val="26"/>
          <w:rtl/>
        </w:rPr>
      </w:pPr>
      <w:r w:rsidRPr="00D32E62">
        <w:rPr>
          <w:rFonts w:ascii="David" w:hAnsi="David"/>
          <w:sz w:val="26"/>
          <w:szCs w:val="26"/>
          <w:rtl/>
        </w:rPr>
        <w:tab/>
      </w:r>
      <w:r w:rsidRPr="00D32E62">
        <w:rPr>
          <w:rFonts w:ascii="David" w:hAnsi="David"/>
          <w:sz w:val="26"/>
          <w:szCs w:val="26"/>
          <w:rtl/>
        </w:rPr>
        <w:tab/>
      </w:r>
      <w:r w:rsidRPr="00D32E62">
        <w:rPr>
          <w:rFonts w:ascii="David" w:hAnsi="David" w:hint="cs"/>
          <w:sz w:val="26"/>
          <w:szCs w:val="26"/>
          <w:rtl/>
        </w:rPr>
        <w:t>טל' : 03-7412358  ,  פקס: 077-3180983</w:t>
      </w:r>
    </w:p>
    <w:p w14:paraId="4C27FD62" w14:textId="24EEF951" w:rsidR="00B86E1C" w:rsidRDefault="00B86E1C" w:rsidP="00B86E1C">
      <w:pPr>
        <w:spacing w:line="360" w:lineRule="auto"/>
        <w:jc w:val="both"/>
        <w:rPr>
          <w:spacing w:val="12"/>
          <w:sz w:val="26"/>
          <w:szCs w:val="26"/>
          <w:rtl/>
        </w:rPr>
      </w:pPr>
      <w:r>
        <w:rPr>
          <w:spacing w:val="12"/>
          <w:sz w:val="26"/>
          <w:szCs w:val="26"/>
          <w:rtl/>
        </w:rPr>
        <w:tab/>
      </w:r>
      <w:r>
        <w:rPr>
          <w:spacing w:val="12"/>
          <w:sz w:val="26"/>
          <w:szCs w:val="26"/>
          <w:rtl/>
        </w:rPr>
        <w:tab/>
      </w:r>
      <w:r>
        <w:rPr>
          <w:spacing w:val="12"/>
          <w:sz w:val="26"/>
          <w:szCs w:val="26"/>
          <w:rtl/>
        </w:rPr>
        <w:tab/>
      </w:r>
      <w:r>
        <w:rPr>
          <w:rFonts w:hint="cs"/>
          <w:spacing w:val="12"/>
          <w:sz w:val="26"/>
          <w:szCs w:val="26"/>
          <w:rtl/>
        </w:rPr>
        <w:t xml:space="preserve">דוא"ל: </w:t>
      </w:r>
      <w:r w:rsidR="00060805" w:rsidRPr="00D54344">
        <w:rPr>
          <w:rStyle w:val="Hyperlink"/>
          <w:color w:val="auto"/>
          <w:spacing w:val="12"/>
          <w:sz w:val="26"/>
          <w:szCs w:val="26"/>
          <w:u w:val="none"/>
        </w:rPr>
        <w:t>office@freiberg-law.com</w:t>
      </w:r>
    </w:p>
    <w:p w14:paraId="5E03CA17" w14:textId="353087B9" w:rsidR="00D84EB7" w:rsidRDefault="00D84EB7" w:rsidP="00B86E1C">
      <w:pPr>
        <w:spacing w:line="276" w:lineRule="auto"/>
        <w:ind w:left="934" w:firstLine="506"/>
        <w:rPr>
          <w:rtl/>
        </w:rPr>
      </w:pPr>
    </w:p>
    <w:p w14:paraId="303AF0A1"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rPr>
          <w:rFonts w:cs="David"/>
          <w:b/>
          <w:bCs/>
          <w:rtl/>
        </w:rPr>
      </w:pPr>
      <w:r w:rsidRPr="008F2304">
        <w:rPr>
          <w:rFonts w:ascii="QDavid" w:cs="David" w:hint="cs"/>
          <w:b/>
          <w:bCs/>
          <w:rtl/>
        </w:rPr>
        <w:tab/>
      </w:r>
      <w:r w:rsidRPr="008F2304">
        <w:rPr>
          <w:rFonts w:ascii="QDavid" w:cs="David" w:hint="cs"/>
          <w:b/>
          <w:bCs/>
          <w:rtl/>
        </w:rPr>
        <w:tab/>
      </w:r>
      <w:r w:rsidRPr="008F2304">
        <w:rPr>
          <w:rFonts w:ascii="QDavid" w:cs="David" w:hint="cs"/>
          <w:b/>
          <w:bCs/>
          <w:rtl/>
        </w:rPr>
        <w:tab/>
      </w:r>
      <w:r w:rsidRPr="008F2304">
        <w:rPr>
          <w:rFonts w:ascii="QDavid" w:cs="David" w:hint="cs"/>
          <w:b/>
          <w:bCs/>
          <w:rtl/>
        </w:rPr>
        <w:tab/>
        <w:t xml:space="preserve">-  </w:t>
      </w:r>
      <w:r w:rsidRPr="008F2304">
        <w:rPr>
          <w:rFonts w:cs="David" w:hint="cs"/>
          <w:b/>
          <w:bCs/>
          <w:rtl/>
        </w:rPr>
        <w:t xml:space="preserve"> </w:t>
      </w:r>
      <w:r w:rsidRPr="008F2304">
        <w:rPr>
          <w:rFonts w:cs="David"/>
          <w:b/>
          <w:bCs/>
          <w:rtl/>
        </w:rPr>
        <w:t>נ</w:t>
      </w:r>
      <w:r w:rsidRPr="008F2304">
        <w:rPr>
          <w:rFonts w:cs="David" w:hint="cs"/>
          <w:b/>
          <w:bCs/>
          <w:rtl/>
        </w:rPr>
        <w:t xml:space="preserve"> </w:t>
      </w:r>
      <w:r w:rsidRPr="008F2304">
        <w:rPr>
          <w:rFonts w:cs="David"/>
          <w:b/>
          <w:bCs/>
          <w:rtl/>
        </w:rPr>
        <w:t xml:space="preserve"> ג</w:t>
      </w:r>
      <w:r w:rsidRPr="008F2304">
        <w:rPr>
          <w:rFonts w:cs="David" w:hint="cs"/>
          <w:b/>
          <w:bCs/>
          <w:rtl/>
        </w:rPr>
        <w:t xml:space="preserve"> </w:t>
      </w:r>
      <w:r w:rsidRPr="008F2304">
        <w:rPr>
          <w:rFonts w:cs="David"/>
          <w:b/>
          <w:bCs/>
          <w:rtl/>
        </w:rPr>
        <w:t xml:space="preserve"> ד</w:t>
      </w:r>
      <w:r w:rsidRPr="008F2304">
        <w:rPr>
          <w:rFonts w:cs="David" w:hint="cs"/>
          <w:b/>
          <w:bCs/>
          <w:rtl/>
        </w:rPr>
        <w:t xml:space="preserve">  -</w:t>
      </w:r>
    </w:p>
    <w:p w14:paraId="627D13D4"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p>
    <w:p w14:paraId="736E9C08"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b/>
          <w:bCs/>
          <w:sz w:val="26"/>
          <w:szCs w:val="26"/>
          <w:rtl/>
        </w:rPr>
      </w:pPr>
      <w:r w:rsidRPr="008F2304">
        <w:rPr>
          <w:rFonts w:cs="David"/>
          <w:b/>
          <w:bCs/>
          <w:rtl/>
        </w:rPr>
        <w:t>ה</w:t>
      </w:r>
      <w:r w:rsidRPr="008F2304">
        <w:rPr>
          <w:rFonts w:cs="David" w:hint="cs"/>
          <w:b/>
          <w:bCs/>
          <w:rtl/>
        </w:rPr>
        <w:t>משיב</w:t>
      </w:r>
      <w:r>
        <w:rPr>
          <w:rFonts w:cs="David" w:hint="cs"/>
          <w:b/>
          <w:bCs/>
          <w:rtl/>
        </w:rPr>
        <w:t>:</w:t>
      </w:r>
      <w:r w:rsidRPr="008F2304">
        <w:rPr>
          <w:rFonts w:cs="David" w:hint="cs"/>
          <w:b/>
          <w:bCs/>
          <w:rtl/>
        </w:rPr>
        <w:tab/>
      </w:r>
      <w:r w:rsidRPr="008F2304">
        <w:rPr>
          <w:rFonts w:cs="David" w:hint="cs"/>
          <w:b/>
          <w:bCs/>
          <w:rtl/>
        </w:rPr>
        <w:tab/>
      </w:r>
      <w:r w:rsidRPr="008F2304">
        <w:rPr>
          <w:rFonts w:cs="David" w:hint="cs"/>
          <w:b/>
          <w:bCs/>
          <w:sz w:val="26"/>
          <w:szCs w:val="26"/>
          <w:rtl/>
        </w:rPr>
        <w:t xml:space="preserve">משרד הביטחון </w:t>
      </w:r>
      <w:r>
        <w:rPr>
          <w:rFonts w:cs="David" w:hint="cs"/>
          <w:b/>
          <w:bCs/>
          <w:sz w:val="26"/>
          <w:szCs w:val="26"/>
          <w:rtl/>
        </w:rPr>
        <w:t xml:space="preserve">- </w:t>
      </w:r>
      <w:r w:rsidRPr="008F2304">
        <w:rPr>
          <w:rFonts w:cs="David" w:hint="cs"/>
          <w:b/>
          <w:bCs/>
          <w:sz w:val="26"/>
          <w:szCs w:val="26"/>
          <w:rtl/>
        </w:rPr>
        <w:t xml:space="preserve">קצין התגמולים </w:t>
      </w:r>
      <w:r>
        <w:rPr>
          <w:rFonts w:cs="David" w:hint="cs"/>
          <w:b/>
          <w:bCs/>
          <w:sz w:val="26"/>
          <w:szCs w:val="26"/>
          <w:rtl/>
        </w:rPr>
        <w:tab/>
      </w:r>
    </w:p>
    <w:p w14:paraId="7564CDF2"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tl/>
        </w:rPr>
      </w:pP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sz w:val="26"/>
          <w:szCs w:val="26"/>
          <w:rtl/>
        </w:rPr>
        <w:t>ע"י ב"כ מפרקליטות מחוז ירושלים (אזרחי)</w:t>
      </w:r>
    </w:p>
    <w:p w14:paraId="373DC476" w14:textId="77777777" w:rsidR="00D84EB7"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רח' מח"ל 7, ת.ד. 49333, ירושלים 91493</w:t>
      </w:r>
    </w:p>
    <w:p w14:paraId="57A6ACF8" w14:textId="77777777" w:rsidR="00D84EB7" w:rsidRPr="005455D8" w:rsidRDefault="00D84EB7" w:rsidP="00D84EB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276" w:lineRule="auto"/>
        <w:jc w:val="both"/>
        <w:rPr>
          <w:rFonts w:cs="David"/>
          <w:rtl/>
        </w:rPr>
      </w:pPr>
      <w:r>
        <w:rPr>
          <w:rFonts w:cs="David" w:hint="cs"/>
          <w:sz w:val="26"/>
          <w:szCs w:val="26"/>
          <w:rtl/>
        </w:rPr>
        <w:tab/>
      </w:r>
      <w:r>
        <w:rPr>
          <w:rFonts w:cs="David" w:hint="cs"/>
          <w:sz w:val="26"/>
          <w:szCs w:val="26"/>
          <w:rtl/>
        </w:rPr>
        <w:tab/>
      </w:r>
      <w:r>
        <w:rPr>
          <w:rFonts w:cs="David" w:hint="cs"/>
          <w:sz w:val="26"/>
          <w:szCs w:val="26"/>
          <w:rtl/>
        </w:rPr>
        <w:tab/>
        <w:t>טל': 02-5419566</w:t>
      </w:r>
      <w:r>
        <w:rPr>
          <w:rFonts w:cs="David"/>
          <w:sz w:val="26"/>
          <w:szCs w:val="26"/>
        </w:rPr>
        <w:t>;</w:t>
      </w:r>
      <w:r>
        <w:rPr>
          <w:rFonts w:cs="David" w:hint="cs"/>
          <w:sz w:val="26"/>
          <w:szCs w:val="26"/>
          <w:rtl/>
        </w:rPr>
        <w:t xml:space="preserve"> פקס: 02-5419581</w:t>
      </w:r>
    </w:p>
    <w:p w14:paraId="30469896" w14:textId="77777777" w:rsidR="00F12CE0" w:rsidRPr="008F2304" w:rsidRDefault="00F12CE0" w:rsidP="000F100D">
      <w:pPr>
        <w:jc w:val="both"/>
        <w:rPr>
          <w:rtl/>
        </w:rPr>
      </w:pPr>
    </w:p>
    <w:p w14:paraId="1F587AF3" w14:textId="435A33BF" w:rsidR="007D7E81" w:rsidRDefault="007D7E81" w:rsidP="007D7E81">
      <w:pPr>
        <w:rPr>
          <w:b/>
          <w:bCs/>
          <w:sz w:val="38"/>
          <w:szCs w:val="38"/>
          <w:u w:val="single"/>
          <w:rtl/>
        </w:rPr>
      </w:pPr>
      <w:r w:rsidRPr="007D7E81">
        <w:rPr>
          <w:b/>
          <w:bCs/>
          <w:sz w:val="38"/>
          <w:szCs w:val="38"/>
          <w:rtl/>
        </w:rPr>
        <w:tab/>
      </w:r>
      <w:r w:rsidRPr="007D7E81">
        <w:rPr>
          <w:b/>
          <w:bCs/>
          <w:sz w:val="38"/>
          <w:szCs w:val="38"/>
          <w:rtl/>
        </w:rPr>
        <w:tab/>
      </w:r>
      <w:r w:rsidRPr="007D7E81">
        <w:rPr>
          <w:b/>
          <w:bCs/>
          <w:sz w:val="38"/>
          <w:szCs w:val="38"/>
          <w:rtl/>
        </w:rPr>
        <w:tab/>
      </w:r>
      <w:r w:rsidR="00D5655F">
        <w:rPr>
          <w:rFonts w:hint="cs"/>
          <w:b/>
          <w:bCs/>
          <w:sz w:val="38"/>
          <w:szCs w:val="38"/>
          <w:u w:val="single"/>
          <w:rtl/>
        </w:rPr>
        <w:t>תגובת המערער לבקשת המשיב</w:t>
      </w:r>
      <w:r w:rsidR="00DE44FF" w:rsidRPr="00502658">
        <w:rPr>
          <w:rFonts w:hint="cs"/>
          <w:b/>
          <w:bCs/>
          <w:sz w:val="38"/>
          <w:szCs w:val="38"/>
          <w:u w:val="single"/>
          <w:rtl/>
        </w:rPr>
        <w:t xml:space="preserve"> </w:t>
      </w:r>
    </w:p>
    <w:p w14:paraId="0371E57D" w14:textId="52BA71E3" w:rsidR="00B9646F" w:rsidRPr="00717878" w:rsidRDefault="00717878" w:rsidP="00084918">
      <w:pPr>
        <w:jc w:val="both"/>
        <w:rPr>
          <w:sz w:val="26"/>
          <w:szCs w:val="26"/>
          <w:rtl/>
        </w:rPr>
      </w:pPr>
      <w:r w:rsidRPr="00717878">
        <w:rPr>
          <w:rFonts w:hint="cs"/>
          <w:sz w:val="26"/>
          <w:szCs w:val="26"/>
          <w:rtl/>
        </w:rPr>
        <w:t>בזיקה לבקשת המשיב מתאריך 26.12.24 מתכבד המערער לפנות ולהגיב כדלקמן:</w:t>
      </w:r>
    </w:p>
    <w:p w14:paraId="437DA967" w14:textId="77777777" w:rsidR="001C2C5E" w:rsidRDefault="001C2C5E" w:rsidP="00084918">
      <w:pPr>
        <w:jc w:val="both"/>
        <w:rPr>
          <w:sz w:val="26"/>
          <w:szCs w:val="26"/>
          <w:rtl/>
        </w:rPr>
      </w:pPr>
    </w:p>
    <w:p w14:paraId="46D8A8B6" w14:textId="7884B4BC" w:rsidR="001C2C5E" w:rsidRPr="00E42FE6" w:rsidRDefault="00717878" w:rsidP="00084918">
      <w:pPr>
        <w:pStyle w:val="a6"/>
        <w:numPr>
          <w:ilvl w:val="0"/>
          <w:numId w:val="12"/>
        </w:numPr>
        <w:spacing w:line="360" w:lineRule="auto"/>
        <w:ind w:left="-57" w:right="284" w:hanging="357"/>
        <w:jc w:val="both"/>
        <w:rPr>
          <w:sz w:val="26"/>
          <w:szCs w:val="26"/>
        </w:rPr>
      </w:pPr>
      <w:r w:rsidRPr="00E42FE6">
        <w:rPr>
          <w:rFonts w:hint="cs"/>
          <w:sz w:val="26"/>
          <w:szCs w:val="26"/>
          <w:rtl/>
        </w:rPr>
        <w:t xml:space="preserve">על אף שלא ניתנה החלטה בדבר תגובה לבקשה המערער לא יוכל לעמוד מנגד שעה שהמשיב ממשיך בהתנהלותו שיש בה כדי לפגוע פגיעה קשה במערער (נכה צה"ל החולה במספר מחלות קשות) ומתוך ניסיון לפגוע בזכויותיו </w:t>
      </w:r>
      <w:r w:rsidR="00BC3891" w:rsidRPr="00E42FE6">
        <w:rPr>
          <w:rFonts w:hint="cs"/>
          <w:sz w:val="26"/>
          <w:szCs w:val="26"/>
          <w:rtl/>
        </w:rPr>
        <w:t>בכל מחיר, גם במחיר של הטעיית בית המשפט הנכבד.</w:t>
      </w:r>
    </w:p>
    <w:p w14:paraId="7CCDE9D6" w14:textId="5EC4FF7D" w:rsidR="00BC3891" w:rsidRDefault="00BC3891" w:rsidP="00084918">
      <w:pPr>
        <w:numPr>
          <w:ilvl w:val="0"/>
          <w:numId w:val="12"/>
        </w:numPr>
        <w:spacing w:line="360" w:lineRule="auto"/>
        <w:ind w:left="-52" w:right="284" w:hanging="425"/>
        <w:jc w:val="both"/>
        <w:rPr>
          <w:sz w:val="26"/>
          <w:szCs w:val="26"/>
        </w:rPr>
      </w:pPr>
      <w:r>
        <w:rPr>
          <w:rFonts w:hint="cs"/>
          <w:sz w:val="26"/>
          <w:szCs w:val="26"/>
          <w:rtl/>
        </w:rPr>
        <w:t xml:space="preserve">בהינתן שלא ניתנה החלטה לתשובה יגיב המערער בקצרה וללא התייחסות לשלל טענות המשיב אשר דינן דחיה, </w:t>
      </w:r>
      <w:r w:rsidR="00084918">
        <w:rPr>
          <w:rFonts w:hint="cs"/>
          <w:sz w:val="26"/>
          <w:szCs w:val="26"/>
          <w:rtl/>
        </w:rPr>
        <w:t xml:space="preserve">טענות </w:t>
      </w:r>
      <w:r>
        <w:rPr>
          <w:rFonts w:hint="cs"/>
          <w:sz w:val="26"/>
          <w:szCs w:val="26"/>
          <w:rtl/>
        </w:rPr>
        <w:t>כגון ציון קביעותיו של מומחה המשיב, פרופ' קיוויתי, אשר נדחו במלואן בהחלטה חלוטה.</w:t>
      </w:r>
    </w:p>
    <w:p w14:paraId="5E67B8B7" w14:textId="77777777" w:rsidR="00BC3891" w:rsidRDefault="00BC3891" w:rsidP="00084918">
      <w:pPr>
        <w:numPr>
          <w:ilvl w:val="0"/>
          <w:numId w:val="12"/>
        </w:numPr>
        <w:spacing w:line="360" w:lineRule="auto"/>
        <w:ind w:left="-52" w:right="284" w:hanging="425"/>
        <w:jc w:val="both"/>
        <w:rPr>
          <w:sz w:val="26"/>
          <w:szCs w:val="26"/>
        </w:rPr>
      </w:pPr>
      <w:r>
        <w:rPr>
          <w:rFonts w:hint="cs"/>
          <w:sz w:val="26"/>
          <w:szCs w:val="26"/>
          <w:rtl/>
        </w:rPr>
        <w:t xml:space="preserve"> אולם כאמור, </w:t>
      </w:r>
      <w:proofErr w:type="spellStart"/>
      <w:r>
        <w:rPr>
          <w:rFonts w:hint="cs"/>
          <w:sz w:val="26"/>
          <w:szCs w:val="26"/>
          <w:rtl/>
        </w:rPr>
        <w:t>משלא</w:t>
      </w:r>
      <w:proofErr w:type="spellEnd"/>
      <w:r>
        <w:rPr>
          <w:rFonts w:hint="cs"/>
          <w:sz w:val="26"/>
          <w:szCs w:val="26"/>
          <w:rtl/>
        </w:rPr>
        <w:t xml:space="preserve"> התבקש ליתן תגובתו יבקש המערער לציין בפני הוועדה הנכבדה כי הגשת הערער דנן ופעולתו הינה כמצוות פסק דינה של הוועדה הנכבדה </w:t>
      </w:r>
      <w:proofErr w:type="spellStart"/>
      <w:r>
        <w:rPr>
          <w:rFonts w:hint="cs"/>
          <w:sz w:val="26"/>
          <w:szCs w:val="26"/>
          <w:rtl/>
        </w:rPr>
        <w:t>בע"נ</w:t>
      </w:r>
      <w:proofErr w:type="spellEnd"/>
      <w:r>
        <w:rPr>
          <w:rFonts w:hint="cs"/>
          <w:sz w:val="26"/>
          <w:szCs w:val="26"/>
          <w:rtl/>
        </w:rPr>
        <w:t xml:space="preserve"> 40376-04-16 (ניתן בתאריך 5/12/2018) שם נקבע כהאי לשנא:</w:t>
      </w:r>
    </w:p>
    <w:p w14:paraId="76886A51" w14:textId="77777777" w:rsidR="00660ACC" w:rsidRDefault="00660ACC" w:rsidP="00E42FE6">
      <w:pPr>
        <w:pStyle w:val="a7"/>
        <w:spacing w:line="360" w:lineRule="auto"/>
        <w:ind w:left="357"/>
        <w:jc w:val="both"/>
        <w:rPr>
          <w:rStyle w:val="1"/>
          <w:sz w:val="26"/>
          <w:szCs w:val="26"/>
          <w:rtl/>
        </w:rPr>
      </w:pPr>
    </w:p>
    <w:p w14:paraId="5CF806DF" w14:textId="7E96B41B" w:rsidR="00AE4F29" w:rsidRPr="00E42FE6" w:rsidRDefault="00AE4F29" w:rsidP="00E42FE6">
      <w:pPr>
        <w:pStyle w:val="a7"/>
        <w:spacing w:line="360" w:lineRule="auto"/>
        <w:ind w:left="357"/>
        <w:jc w:val="both"/>
        <w:rPr>
          <w:rStyle w:val="1"/>
          <w:sz w:val="26"/>
          <w:szCs w:val="26"/>
          <w:rtl/>
        </w:rPr>
      </w:pPr>
      <w:r w:rsidRPr="00E42FE6">
        <w:rPr>
          <w:rStyle w:val="1"/>
          <w:sz w:val="26"/>
          <w:szCs w:val="26"/>
          <w:rtl/>
        </w:rPr>
        <w:t>"... לכן, חייבים לבדוק היטב קודם לכל את טענת ההחמרה במחלת האסטמה ולאחר מכן להיזקק לערעור דנן שהמחלה הכלייתית מקורה בהחמרת מחלת האסטמה."</w:t>
      </w:r>
    </w:p>
    <w:p w14:paraId="72665C12" w14:textId="5064B62B" w:rsidR="00AE4F29" w:rsidRPr="00AE4F29" w:rsidRDefault="00AE4F29" w:rsidP="00AE4F29">
      <w:pPr>
        <w:pStyle w:val="a7"/>
        <w:spacing w:line="360" w:lineRule="auto"/>
        <w:ind w:left="357"/>
        <w:rPr>
          <w:rStyle w:val="1"/>
          <w:rtl/>
        </w:rPr>
      </w:pPr>
      <w:r w:rsidRPr="00AE4F29">
        <w:rPr>
          <w:rStyle w:val="1"/>
          <w:rtl/>
        </w:rPr>
        <w:t>(עמ' 3 לפסק הדין, פסקה 8, שורות 16 - 17).</w:t>
      </w:r>
    </w:p>
    <w:p w14:paraId="07092069" w14:textId="77777777" w:rsidR="00AE4F29" w:rsidRPr="00AE4F29" w:rsidRDefault="00AE4F29" w:rsidP="00AE4F29">
      <w:pPr>
        <w:pStyle w:val="a7"/>
        <w:spacing w:line="360" w:lineRule="auto"/>
        <w:ind w:left="357"/>
        <w:rPr>
          <w:rStyle w:val="1"/>
          <w:rtl/>
        </w:rPr>
      </w:pPr>
    </w:p>
    <w:p w14:paraId="396971E5" w14:textId="7637473C" w:rsidR="00AE4F29" w:rsidRPr="00E42FE6" w:rsidRDefault="00AE4F29" w:rsidP="00E42FE6">
      <w:pPr>
        <w:pStyle w:val="a7"/>
        <w:spacing w:line="360" w:lineRule="auto"/>
        <w:ind w:left="357"/>
        <w:jc w:val="both"/>
        <w:rPr>
          <w:rFonts w:ascii="David" w:hAnsi="David"/>
          <w:sz w:val="26"/>
          <w:szCs w:val="26"/>
          <w:rtl/>
        </w:rPr>
      </w:pPr>
      <w:r w:rsidRPr="00E42FE6">
        <w:rPr>
          <w:rFonts w:ascii="David" w:hAnsi="David"/>
          <w:sz w:val="26"/>
          <w:szCs w:val="26"/>
          <w:rtl/>
        </w:rPr>
        <w:t>"</w:t>
      </w:r>
      <w:r w:rsidRPr="00AE4F29">
        <w:rPr>
          <w:rFonts w:ascii="David" w:hAnsi="David"/>
          <w:b/>
          <w:bCs/>
          <w:sz w:val="26"/>
          <w:szCs w:val="26"/>
          <w:rtl/>
        </w:rPr>
        <w:t>לאחר מכן יקוים הדיון בערעור זה שאמור לברר האם מחלת הכליות שבה לוקה המערער נבעה מההחמרה במחלת האסטמה</w:t>
      </w:r>
      <w:r w:rsidRPr="00AE4F29">
        <w:rPr>
          <w:rFonts w:ascii="David" w:hAnsi="David"/>
          <w:sz w:val="26"/>
          <w:szCs w:val="26"/>
          <w:rtl/>
        </w:rPr>
        <w:t>.</w:t>
      </w:r>
      <w:r w:rsidRPr="00E42FE6">
        <w:rPr>
          <w:rFonts w:ascii="David" w:hAnsi="David"/>
          <w:sz w:val="26"/>
          <w:szCs w:val="26"/>
          <w:rtl/>
        </w:rPr>
        <w:t>"</w:t>
      </w:r>
    </w:p>
    <w:p w14:paraId="4B1A2917" w14:textId="5CC66C5C" w:rsidR="00AE4F29" w:rsidRPr="00AE4F29" w:rsidRDefault="00AE4F29" w:rsidP="00AE4F29">
      <w:pPr>
        <w:pStyle w:val="a7"/>
        <w:spacing w:line="360" w:lineRule="auto"/>
        <w:ind w:left="357"/>
        <w:rPr>
          <w:rStyle w:val="1"/>
          <w:rtl/>
        </w:rPr>
      </w:pPr>
      <w:r w:rsidRPr="00AE4F29">
        <w:rPr>
          <w:rStyle w:val="1"/>
          <w:rtl/>
        </w:rPr>
        <w:t>(עמ' 3 לפסק הדין, פסקה 9, שורות 22 - 24).</w:t>
      </w:r>
    </w:p>
    <w:p w14:paraId="156B1ABC" w14:textId="77777777" w:rsidR="00AE4F29" w:rsidRPr="00AE4F29" w:rsidRDefault="00AE4F29" w:rsidP="00AE4F29">
      <w:pPr>
        <w:pStyle w:val="a7"/>
        <w:spacing w:line="360" w:lineRule="auto"/>
        <w:ind w:left="357"/>
        <w:rPr>
          <w:rStyle w:val="1"/>
          <w:rtl/>
        </w:rPr>
      </w:pPr>
    </w:p>
    <w:p w14:paraId="0024ADFE" w14:textId="03725FE9" w:rsidR="00AE4F29" w:rsidRPr="00E42FE6" w:rsidRDefault="00AE4F29" w:rsidP="00E42FE6">
      <w:pPr>
        <w:pStyle w:val="a7"/>
        <w:spacing w:line="360" w:lineRule="auto"/>
        <w:ind w:left="357"/>
        <w:jc w:val="both"/>
        <w:rPr>
          <w:rFonts w:ascii="David" w:hAnsi="David"/>
          <w:color w:val="000000"/>
          <w:sz w:val="26"/>
          <w:szCs w:val="26"/>
          <w:rtl/>
        </w:rPr>
      </w:pPr>
      <w:r w:rsidRPr="00E42FE6">
        <w:rPr>
          <w:rFonts w:ascii="David" w:hAnsi="David" w:hint="cs"/>
          <w:color w:val="000000"/>
          <w:sz w:val="26"/>
          <w:szCs w:val="26"/>
          <w:rtl/>
        </w:rPr>
        <w:lastRenderedPageBreak/>
        <w:t>"</w:t>
      </w:r>
      <w:r w:rsidRPr="00AE4F29">
        <w:rPr>
          <w:rFonts w:ascii="David" w:hAnsi="David"/>
          <w:color w:val="000000"/>
          <w:sz w:val="26"/>
          <w:szCs w:val="26"/>
          <w:rtl/>
        </w:rPr>
        <w:t xml:space="preserve">לפיכך, הננו מקבלים את הבקשה למחיקה על הסף של הערעור. המערער יפעל לפי האמור בהחלטה זו </w:t>
      </w:r>
      <w:r w:rsidRPr="00973546">
        <w:rPr>
          <w:rFonts w:ascii="David" w:hAnsi="David"/>
          <w:b/>
          <w:bCs/>
          <w:color w:val="000000"/>
          <w:sz w:val="26"/>
          <w:szCs w:val="26"/>
          <w:u w:val="single"/>
          <w:rtl/>
        </w:rPr>
        <w:t>ולאחר מכן ניתן יהיה לברר את הערעור דנן בהתאם לתוצאות שיתקבלו בהליך שיבחן את טענת ההחמרה במחלת האסטמה כתוצאה מהשירות הצבאי</w:t>
      </w:r>
      <w:r w:rsidRPr="00E42FE6">
        <w:rPr>
          <w:rFonts w:ascii="David" w:hAnsi="David" w:hint="cs"/>
          <w:color w:val="000000"/>
          <w:sz w:val="26"/>
          <w:szCs w:val="26"/>
          <w:rtl/>
        </w:rPr>
        <w:t>".</w:t>
      </w:r>
    </w:p>
    <w:p w14:paraId="378D8D08" w14:textId="553D117B" w:rsidR="00AE4F29" w:rsidRDefault="00AE4F29" w:rsidP="00AE4F29">
      <w:pPr>
        <w:pStyle w:val="a7"/>
        <w:ind w:left="360"/>
        <w:rPr>
          <w:rStyle w:val="1"/>
          <w:rtl/>
        </w:rPr>
      </w:pPr>
      <w:r>
        <w:rPr>
          <w:rStyle w:val="1"/>
          <w:rFonts w:hint="cs"/>
          <w:rtl/>
        </w:rPr>
        <w:t>(עמ' 3 לפסק הדין, פסקה 10, שורות 26 - 28).</w:t>
      </w:r>
    </w:p>
    <w:p w14:paraId="18F6215D" w14:textId="64E00D57" w:rsidR="00E42FE6" w:rsidRDefault="00E42FE6" w:rsidP="00AE4F29">
      <w:pPr>
        <w:pStyle w:val="a7"/>
        <w:ind w:left="360"/>
        <w:rPr>
          <w:rStyle w:val="1"/>
          <w:rtl/>
        </w:rPr>
      </w:pPr>
      <w:r>
        <w:rPr>
          <w:rStyle w:val="1"/>
          <w:rFonts w:hint="cs"/>
          <w:rtl/>
        </w:rPr>
        <w:t xml:space="preserve">(ההדגשות לא במקור </w:t>
      </w:r>
      <w:r>
        <w:rPr>
          <w:rStyle w:val="1"/>
          <w:rtl/>
        </w:rPr>
        <w:t>–</w:t>
      </w:r>
      <w:r>
        <w:rPr>
          <w:rStyle w:val="1"/>
          <w:rFonts w:hint="cs"/>
          <w:rtl/>
        </w:rPr>
        <w:t xml:space="preserve"> הח"מ).</w:t>
      </w:r>
    </w:p>
    <w:p w14:paraId="57C139C0" w14:textId="77777777" w:rsidR="00E42FE6" w:rsidRDefault="00E42FE6" w:rsidP="00AE4F29">
      <w:pPr>
        <w:pStyle w:val="a7"/>
        <w:ind w:left="360"/>
        <w:rPr>
          <w:rStyle w:val="1"/>
          <w:rtl/>
        </w:rPr>
      </w:pPr>
    </w:p>
    <w:p w14:paraId="69989FF8" w14:textId="5E3BBBB0" w:rsidR="00BC3891" w:rsidRDefault="00E42FE6" w:rsidP="00070630">
      <w:pPr>
        <w:numPr>
          <w:ilvl w:val="0"/>
          <w:numId w:val="12"/>
        </w:numPr>
        <w:spacing w:line="360" w:lineRule="auto"/>
        <w:ind w:left="-52" w:hanging="425"/>
        <w:jc w:val="both"/>
        <w:rPr>
          <w:sz w:val="26"/>
          <w:szCs w:val="26"/>
        </w:rPr>
      </w:pPr>
      <w:r>
        <w:rPr>
          <w:rFonts w:hint="cs"/>
          <w:sz w:val="26"/>
          <w:szCs w:val="26"/>
          <w:rtl/>
        </w:rPr>
        <w:t>החלטת הוועדה הנכבד</w:t>
      </w:r>
      <w:r w:rsidR="00084918">
        <w:rPr>
          <w:rFonts w:hint="cs"/>
          <w:sz w:val="26"/>
          <w:szCs w:val="26"/>
          <w:rtl/>
        </w:rPr>
        <w:t>ה</w:t>
      </w:r>
      <w:r>
        <w:rPr>
          <w:rFonts w:hint="cs"/>
          <w:sz w:val="26"/>
          <w:szCs w:val="26"/>
          <w:rtl/>
        </w:rPr>
        <w:t xml:space="preserve"> כפי שצוטטה לעיל מדברת בפני עצמה ושומטת את הקרקע תחת טיעונו </w:t>
      </w:r>
      <w:r w:rsidR="00084918">
        <w:rPr>
          <w:rFonts w:hint="cs"/>
          <w:sz w:val="26"/>
          <w:szCs w:val="26"/>
          <w:rtl/>
        </w:rPr>
        <w:t xml:space="preserve">ובקשתו </w:t>
      </w:r>
      <w:r>
        <w:rPr>
          <w:rFonts w:hint="cs"/>
          <w:sz w:val="26"/>
          <w:szCs w:val="26"/>
          <w:rtl/>
        </w:rPr>
        <w:t xml:space="preserve">של המשיב. </w:t>
      </w:r>
    </w:p>
    <w:p w14:paraId="5E1DC168" w14:textId="0045572E" w:rsidR="00660ACC" w:rsidRPr="00973546" w:rsidRDefault="00660ACC" w:rsidP="00660ACC">
      <w:pPr>
        <w:spacing w:line="360" w:lineRule="auto"/>
        <w:ind w:left="-52"/>
        <w:jc w:val="both"/>
        <w:rPr>
          <w:sz w:val="26"/>
          <w:szCs w:val="26"/>
        </w:rPr>
      </w:pPr>
    </w:p>
    <w:p w14:paraId="4594697E" w14:textId="356A595B" w:rsidR="00973546" w:rsidRDefault="00660ACC" w:rsidP="00070630">
      <w:pPr>
        <w:numPr>
          <w:ilvl w:val="0"/>
          <w:numId w:val="12"/>
        </w:numPr>
        <w:spacing w:line="360" w:lineRule="auto"/>
        <w:ind w:left="-52" w:hanging="425"/>
        <w:jc w:val="both"/>
        <w:rPr>
          <w:sz w:val="26"/>
          <w:szCs w:val="26"/>
        </w:rPr>
      </w:pPr>
      <w:r>
        <w:rPr>
          <w:rFonts w:hint="cs"/>
          <w:sz w:val="26"/>
          <w:szCs w:val="26"/>
          <w:rtl/>
        </w:rPr>
        <w:t xml:space="preserve">כמצוות הוועדה הנכבדה בפסק דינו של יו"ר הוועדה, כבוד השופט (בדימוס) יואל צור, לאחר שניתנה החלטת קצין התגמולים </w:t>
      </w:r>
      <w:r w:rsidR="00973546">
        <w:rPr>
          <w:rFonts w:hint="cs"/>
          <w:sz w:val="26"/>
          <w:szCs w:val="26"/>
          <w:rtl/>
        </w:rPr>
        <w:t>בעניין הריאות/אסטמה פנה המערער לברר את הערעור כאמור.</w:t>
      </w:r>
    </w:p>
    <w:p w14:paraId="3578B427" w14:textId="699FE03C" w:rsidR="00BC3891" w:rsidRDefault="00BC3891" w:rsidP="00973546">
      <w:pPr>
        <w:spacing w:line="360" w:lineRule="auto"/>
        <w:ind w:left="-52"/>
        <w:jc w:val="both"/>
        <w:rPr>
          <w:sz w:val="26"/>
          <w:szCs w:val="26"/>
        </w:rPr>
      </w:pPr>
    </w:p>
    <w:p w14:paraId="508CFCC3" w14:textId="0174D33B" w:rsidR="00660ACC" w:rsidRDefault="00660ACC" w:rsidP="00070630">
      <w:pPr>
        <w:numPr>
          <w:ilvl w:val="0"/>
          <w:numId w:val="12"/>
        </w:numPr>
        <w:spacing w:line="360" w:lineRule="auto"/>
        <w:ind w:left="-52" w:hanging="425"/>
        <w:jc w:val="both"/>
        <w:rPr>
          <w:sz w:val="26"/>
          <w:szCs w:val="26"/>
        </w:rPr>
      </w:pPr>
      <w:r>
        <w:rPr>
          <w:rFonts w:hint="cs"/>
          <w:sz w:val="26"/>
          <w:szCs w:val="26"/>
          <w:rtl/>
        </w:rPr>
        <w:t>לאור האמור לעיל, מתבקשת הוועדה הנכבדה להורות על דחיית בקשת המשיב הן לסילוק על הסף והן לארכה</w:t>
      </w:r>
      <w:r w:rsidR="00973546">
        <w:rPr>
          <w:rFonts w:hint="cs"/>
          <w:sz w:val="26"/>
          <w:szCs w:val="26"/>
          <w:rtl/>
        </w:rPr>
        <w:t>.</w:t>
      </w:r>
    </w:p>
    <w:p w14:paraId="12B7856F" w14:textId="77777777" w:rsidR="00084918" w:rsidRDefault="00084918" w:rsidP="00084918">
      <w:pPr>
        <w:pStyle w:val="a6"/>
        <w:rPr>
          <w:rFonts w:hint="cs"/>
          <w:sz w:val="26"/>
          <w:szCs w:val="26"/>
          <w:rtl/>
        </w:rPr>
      </w:pPr>
    </w:p>
    <w:p w14:paraId="65B2AD84" w14:textId="77777777" w:rsidR="00084918" w:rsidRDefault="00084918" w:rsidP="00084918">
      <w:pPr>
        <w:spacing w:line="360" w:lineRule="auto"/>
        <w:jc w:val="both"/>
        <w:rPr>
          <w:sz w:val="26"/>
          <w:szCs w:val="26"/>
          <w:rtl/>
        </w:rPr>
      </w:pPr>
    </w:p>
    <w:p w14:paraId="3D0F91BC" w14:textId="77777777" w:rsidR="00084918" w:rsidRDefault="00084918" w:rsidP="00084918">
      <w:pPr>
        <w:spacing w:line="360" w:lineRule="auto"/>
        <w:jc w:val="both"/>
        <w:rPr>
          <w:sz w:val="26"/>
          <w:szCs w:val="26"/>
        </w:rPr>
      </w:pPr>
    </w:p>
    <w:p w14:paraId="728FB1AC" w14:textId="77777777" w:rsidR="00F12CE0" w:rsidRPr="008F2304" w:rsidRDefault="00F12CE0" w:rsidP="00525C68">
      <w:pPr>
        <w:ind w:left="5040" w:firstLine="720"/>
        <w:jc w:val="both"/>
        <w:rPr>
          <w:rtl/>
        </w:rPr>
      </w:pPr>
      <w:r w:rsidRPr="008F2304">
        <w:rPr>
          <w:rFonts w:hint="cs"/>
          <w:rtl/>
        </w:rPr>
        <w:t>_______</w:t>
      </w:r>
      <w:r w:rsidR="00525C68">
        <w:rPr>
          <w:rFonts w:hint="cs"/>
          <w:rtl/>
        </w:rPr>
        <w:t>__</w:t>
      </w:r>
      <w:r w:rsidRPr="008F2304">
        <w:rPr>
          <w:rFonts w:hint="cs"/>
          <w:rtl/>
        </w:rPr>
        <w:t>______</w:t>
      </w:r>
    </w:p>
    <w:p w14:paraId="0DA00B00" w14:textId="77777777" w:rsidR="00F12CE0" w:rsidRPr="00525C68" w:rsidRDefault="00525C68" w:rsidP="0062478F">
      <w:pPr>
        <w:jc w:val="both"/>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0062478F" w:rsidRPr="00525C68">
        <w:rPr>
          <w:rFonts w:hint="cs"/>
          <w:b/>
          <w:bCs/>
          <w:rtl/>
        </w:rPr>
        <w:t>אריאל פרייברג</w:t>
      </w:r>
      <w:r w:rsidR="00F12CE0" w:rsidRPr="00525C68">
        <w:rPr>
          <w:b/>
          <w:bCs/>
          <w:rtl/>
        </w:rPr>
        <w:t>, עו"ד</w:t>
      </w:r>
    </w:p>
    <w:p w14:paraId="4FD2A7AF" w14:textId="77777777" w:rsidR="00AA0BEA" w:rsidRPr="00525C68" w:rsidRDefault="00F12CE0" w:rsidP="00AA0BEA">
      <w:pPr>
        <w:rPr>
          <w:b/>
          <w:bCs/>
          <w:color w:val="000000"/>
          <w:rtl/>
        </w:rPr>
      </w:pP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00BD710C" w:rsidRPr="00525C68">
        <w:rPr>
          <w:rFonts w:hint="cs"/>
          <w:b/>
          <w:bCs/>
          <w:rtl/>
        </w:rPr>
        <w:tab/>
      </w:r>
      <w:r w:rsidR="00BD710C" w:rsidRPr="00525C68">
        <w:rPr>
          <w:rFonts w:hint="cs"/>
          <w:b/>
          <w:bCs/>
          <w:rtl/>
        </w:rPr>
        <w:tab/>
      </w:r>
      <w:r w:rsidRPr="00525C68">
        <w:rPr>
          <w:rFonts w:hint="cs"/>
          <w:b/>
          <w:bCs/>
          <w:rtl/>
        </w:rPr>
        <w:t>ב"כ          ה</w:t>
      </w:r>
      <w:r w:rsidR="00BD710C" w:rsidRPr="00525C68">
        <w:rPr>
          <w:rFonts w:hint="cs"/>
          <w:b/>
          <w:bCs/>
          <w:rtl/>
        </w:rPr>
        <w:t>מערער</w:t>
      </w:r>
    </w:p>
    <w:sectPr w:rsidR="00AA0BEA" w:rsidRPr="00525C68" w:rsidSect="00AA0BEA">
      <w:headerReference w:type="even" r:id="rId7"/>
      <w:footerReference w:type="even" r:id="rId8"/>
      <w:footerReference w:type="default" r:id="rId9"/>
      <w:pgSz w:w="11906" w:h="16838"/>
      <w:pgMar w:top="1440" w:right="1797" w:bottom="1440"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8354B" w14:textId="77777777" w:rsidR="008E76BE" w:rsidRDefault="008E76BE" w:rsidP="00970E07">
      <w:r>
        <w:separator/>
      </w:r>
    </w:p>
  </w:endnote>
  <w:endnote w:type="continuationSeparator" w:id="0">
    <w:p w14:paraId="2F65A4B9" w14:textId="77777777" w:rsidR="008E76BE" w:rsidRDefault="008E76BE"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1580"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5740B0AE"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67C6F39A" w14:textId="77777777"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DA7B56">
      <w:rPr>
        <w:rFonts w:cs="Times New Roman"/>
        <w:noProof/>
        <w:color w:val="000000"/>
        <w:sz w:val="14"/>
        <w:szCs w:val="14"/>
      </w:rPr>
      <w:t>C</w:t>
    </w:r>
    <w:r w:rsidR="00DA7B56">
      <w:rPr>
        <w:rFonts w:cs="Times New Roman"/>
        <w:noProof/>
        <w:color w:val="000000"/>
        <w:sz w:val="14"/>
        <w:szCs w:val="14"/>
        <w:rtl/>
      </w:rPr>
      <w:t>:\אריאל\דורון טלמור\ערר מתוקן - אסטמה.</w:t>
    </w:r>
    <w:r w:rsidR="00DA7B56">
      <w:rPr>
        <w:rFonts w:cs="Times New Roman"/>
        <w:noProof/>
        <w:color w:val="000000"/>
        <w:sz w:val="14"/>
        <w:szCs w:val="14"/>
      </w:rPr>
      <w:t>doc</w:t>
    </w:r>
    <w:r>
      <w:rPr>
        <w:rFonts w:cs="Times New Roman"/>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362B"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sidR="00835E2C">
      <w:rPr>
        <w:rFonts w:ascii="FrankRuehl" w:hAnsi="FrankRuehl" w:cs="FrankRuehl"/>
        <w:noProof/>
        <w:rtl/>
      </w:rPr>
      <w:t>4</w:t>
    </w:r>
    <w:r>
      <w:rPr>
        <w:rFonts w:ascii="FrankRuehl" w:hAnsi="FrankRuehl" w:cs="FrankRuehl"/>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2652" w14:textId="77777777" w:rsidR="008E76BE" w:rsidRDefault="008E76BE" w:rsidP="00970E07">
      <w:r>
        <w:separator/>
      </w:r>
    </w:p>
  </w:footnote>
  <w:footnote w:type="continuationSeparator" w:id="0">
    <w:p w14:paraId="72B957BB" w14:textId="77777777" w:rsidR="008E76BE" w:rsidRDefault="008E76BE" w:rsidP="0097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6314"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ענ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BEA"/>
    <w:multiLevelType w:val="hybridMultilevel"/>
    <w:tmpl w:val="CC8496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3"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9B2173"/>
    <w:multiLevelType w:val="hybridMultilevel"/>
    <w:tmpl w:val="90488066"/>
    <w:lvl w:ilvl="0" w:tplc="5D74A6EE">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9FC5281"/>
    <w:multiLevelType w:val="hybridMultilevel"/>
    <w:tmpl w:val="65667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8"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9"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10" w15:restartNumberingAfterBreak="0">
    <w:nsid w:val="41F04571"/>
    <w:multiLevelType w:val="hybridMultilevel"/>
    <w:tmpl w:val="BC8609DE"/>
    <w:lvl w:ilvl="0" w:tplc="D094376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B271F7D"/>
    <w:multiLevelType w:val="hybridMultilevel"/>
    <w:tmpl w:val="ED128E9C"/>
    <w:lvl w:ilvl="0" w:tplc="76563876">
      <w:start w:val="1"/>
      <w:numFmt w:val="decimal"/>
      <w:lvlText w:val="%1."/>
      <w:lvlJc w:val="left"/>
      <w:pPr>
        <w:ind w:left="720" w:hanging="360"/>
      </w:pPr>
      <w:rPr>
        <w:rFonts w:ascii="Times New Roman" w:eastAsia="Times New Roman" w:hAnsi="Times New Roman" w:cs="David"/>
        <w:b/>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5C220C"/>
    <w:multiLevelType w:val="hybridMultilevel"/>
    <w:tmpl w:val="78BA12CA"/>
    <w:lvl w:ilvl="0" w:tplc="8C38C170">
      <w:start w:val="1"/>
      <w:numFmt w:val="hebrew1"/>
      <w:lvlText w:val="%1."/>
      <w:lvlJc w:val="left"/>
      <w:pPr>
        <w:ind w:left="875" w:hanging="360"/>
      </w:pPr>
      <w:rPr>
        <w:rFonts w:hint="default"/>
      </w:rPr>
    </w:lvl>
    <w:lvl w:ilvl="1" w:tplc="04090019" w:tentative="1">
      <w:start w:val="1"/>
      <w:numFmt w:val="lowerLetter"/>
      <w:lvlText w:val="%2."/>
      <w:lvlJc w:val="left"/>
      <w:pPr>
        <w:ind w:left="1595" w:hanging="360"/>
      </w:pPr>
    </w:lvl>
    <w:lvl w:ilvl="2" w:tplc="0409001B" w:tentative="1">
      <w:start w:val="1"/>
      <w:numFmt w:val="lowerRoman"/>
      <w:lvlText w:val="%3."/>
      <w:lvlJc w:val="right"/>
      <w:pPr>
        <w:ind w:left="2315" w:hanging="180"/>
      </w:pPr>
    </w:lvl>
    <w:lvl w:ilvl="3" w:tplc="0409000F" w:tentative="1">
      <w:start w:val="1"/>
      <w:numFmt w:val="decimal"/>
      <w:lvlText w:val="%4."/>
      <w:lvlJc w:val="left"/>
      <w:pPr>
        <w:ind w:left="3035" w:hanging="360"/>
      </w:pPr>
    </w:lvl>
    <w:lvl w:ilvl="4" w:tplc="04090019" w:tentative="1">
      <w:start w:val="1"/>
      <w:numFmt w:val="lowerLetter"/>
      <w:lvlText w:val="%5."/>
      <w:lvlJc w:val="left"/>
      <w:pPr>
        <w:ind w:left="3755" w:hanging="360"/>
      </w:pPr>
    </w:lvl>
    <w:lvl w:ilvl="5" w:tplc="0409001B" w:tentative="1">
      <w:start w:val="1"/>
      <w:numFmt w:val="lowerRoman"/>
      <w:lvlText w:val="%6."/>
      <w:lvlJc w:val="right"/>
      <w:pPr>
        <w:ind w:left="4475" w:hanging="180"/>
      </w:pPr>
    </w:lvl>
    <w:lvl w:ilvl="6" w:tplc="0409000F" w:tentative="1">
      <w:start w:val="1"/>
      <w:numFmt w:val="decimal"/>
      <w:lvlText w:val="%7."/>
      <w:lvlJc w:val="left"/>
      <w:pPr>
        <w:ind w:left="5195" w:hanging="360"/>
      </w:pPr>
    </w:lvl>
    <w:lvl w:ilvl="7" w:tplc="04090019" w:tentative="1">
      <w:start w:val="1"/>
      <w:numFmt w:val="lowerLetter"/>
      <w:lvlText w:val="%8."/>
      <w:lvlJc w:val="left"/>
      <w:pPr>
        <w:ind w:left="5915" w:hanging="360"/>
      </w:pPr>
    </w:lvl>
    <w:lvl w:ilvl="8" w:tplc="0409001B" w:tentative="1">
      <w:start w:val="1"/>
      <w:numFmt w:val="lowerRoman"/>
      <w:lvlText w:val="%9."/>
      <w:lvlJc w:val="right"/>
      <w:pPr>
        <w:ind w:left="6635" w:hanging="180"/>
      </w:pPr>
    </w:lvl>
  </w:abstractNum>
  <w:abstractNum w:abstractNumId="14"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6"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131336752">
    <w:abstractNumId w:val="5"/>
  </w:num>
  <w:num w:numId="2" w16cid:durableId="363529776">
    <w:abstractNumId w:val="7"/>
  </w:num>
  <w:num w:numId="3" w16cid:durableId="463885939">
    <w:abstractNumId w:val="14"/>
  </w:num>
  <w:num w:numId="4" w16cid:durableId="812478851">
    <w:abstractNumId w:val="3"/>
  </w:num>
  <w:num w:numId="5" w16cid:durableId="1925451779">
    <w:abstractNumId w:val="12"/>
  </w:num>
  <w:num w:numId="6" w16cid:durableId="1895001009">
    <w:abstractNumId w:val="1"/>
  </w:num>
  <w:num w:numId="7" w16cid:durableId="809982755">
    <w:abstractNumId w:val="8"/>
  </w:num>
  <w:num w:numId="8" w16cid:durableId="178937393">
    <w:abstractNumId w:val="17"/>
  </w:num>
  <w:num w:numId="9" w16cid:durableId="1239747328">
    <w:abstractNumId w:val="2"/>
  </w:num>
  <w:num w:numId="10" w16cid:durableId="1053388774">
    <w:abstractNumId w:val="9"/>
  </w:num>
  <w:num w:numId="11" w16cid:durableId="410542426">
    <w:abstractNumId w:val="16"/>
  </w:num>
  <w:num w:numId="12" w16cid:durableId="214658634">
    <w:abstractNumId w:val="11"/>
  </w:num>
  <w:num w:numId="13" w16cid:durableId="1403529545">
    <w:abstractNumId w:val="15"/>
  </w:num>
  <w:num w:numId="14" w16cid:durableId="580063461">
    <w:abstractNumId w:val="0"/>
  </w:num>
  <w:num w:numId="15" w16cid:durableId="1237281398">
    <w:abstractNumId w:val="10"/>
  </w:num>
  <w:num w:numId="16" w16cid:durableId="275792834">
    <w:abstractNumId w:val="4"/>
  </w:num>
  <w:num w:numId="17" w16cid:durableId="612172331">
    <w:abstractNumId w:val="6"/>
  </w:num>
  <w:num w:numId="18" w16cid:durableId="17181663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yInfo" w:val="This document was extracted from Nevo's site"/>
  </w:docVars>
  <w:rsids>
    <w:rsidRoot w:val="00067DAC"/>
    <w:rsid w:val="0000370F"/>
    <w:rsid w:val="00025FDA"/>
    <w:rsid w:val="00032D41"/>
    <w:rsid w:val="000469BE"/>
    <w:rsid w:val="000520C9"/>
    <w:rsid w:val="00060805"/>
    <w:rsid w:val="00062BDD"/>
    <w:rsid w:val="00064C1B"/>
    <w:rsid w:val="00067DAC"/>
    <w:rsid w:val="00070630"/>
    <w:rsid w:val="00081388"/>
    <w:rsid w:val="00084918"/>
    <w:rsid w:val="000D163D"/>
    <w:rsid w:val="000D6BDD"/>
    <w:rsid w:val="000F100D"/>
    <w:rsid w:val="000F2696"/>
    <w:rsid w:val="00103077"/>
    <w:rsid w:val="00116DE9"/>
    <w:rsid w:val="00121D18"/>
    <w:rsid w:val="0012249A"/>
    <w:rsid w:val="00127081"/>
    <w:rsid w:val="00142B3A"/>
    <w:rsid w:val="001574CA"/>
    <w:rsid w:val="001661D0"/>
    <w:rsid w:val="001C2C5E"/>
    <w:rsid w:val="001C5385"/>
    <w:rsid w:val="001D505B"/>
    <w:rsid w:val="00202679"/>
    <w:rsid w:val="00207287"/>
    <w:rsid w:val="00225559"/>
    <w:rsid w:val="00245453"/>
    <w:rsid w:val="002554DA"/>
    <w:rsid w:val="00263F55"/>
    <w:rsid w:val="00282794"/>
    <w:rsid w:val="00296EE5"/>
    <w:rsid w:val="002A45DF"/>
    <w:rsid w:val="002A6314"/>
    <w:rsid w:val="002D2A16"/>
    <w:rsid w:val="002D3962"/>
    <w:rsid w:val="002D4670"/>
    <w:rsid w:val="002F32B4"/>
    <w:rsid w:val="002F7CDE"/>
    <w:rsid w:val="003077F0"/>
    <w:rsid w:val="003177E1"/>
    <w:rsid w:val="00321886"/>
    <w:rsid w:val="0033108F"/>
    <w:rsid w:val="00334BF5"/>
    <w:rsid w:val="00345B36"/>
    <w:rsid w:val="00356F0E"/>
    <w:rsid w:val="003577C9"/>
    <w:rsid w:val="00376335"/>
    <w:rsid w:val="003A4915"/>
    <w:rsid w:val="003A5BAF"/>
    <w:rsid w:val="003A5C44"/>
    <w:rsid w:val="003C1DF8"/>
    <w:rsid w:val="003C24BE"/>
    <w:rsid w:val="003E7DDE"/>
    <w:rsid w:val="003F28F6"/>
    <w:rsid w:val="00405D35"/>
    <w:rsid w:val="004105FB"/>
    <w:rsid w:val="004336CD"/>
    <w:rsid w:val="0043600A"/>
    <w:rsid w:val="004459D7"/>
    <w:rsid w:val="0046687A"/>
    <w:rsid w:val="0048048E"/>
    <w:rsid w:val="00483BCE"/>
    <w:rsid w:val="004A34DB"/>
    <w:rsid w:val="004D586B"/>
    <w:rsid w:val="004E2C36"/>
    <w:rsid w:val="004E305A"/>
    <w:rsid w:val="004E781C"/>
    <w:rsid w:val="004E78CB"/>
    <w:rsid w:val="004F3BC2"/>
    <w:rsid w:val="00502658"/>
    <w:rsid w:val="00517527"/>
    <w:rsid w:val="0052392B"/>
    <w:rsid w:val="00525C68"/>
    <w:rsid w:val="00526702"/>
    <w:rsid w:val="00527836"/>
    <w:rsid w:val="00564C46"/>
    <w:rsid w:val="00587F00"/>
    <w:rsid w:val="005C6D23"/>
    <w:rsid w:val="005C7EFE"/>
    <w:rsid w:val="005F2B4A"/>
    <w:rsid w:val="005F5C6B"/>
    <w:rsid w:val="006049E8"/>
    <w:rsid w:val="00622921"/>
    <w:rsid w:val="0062478F"/>
    <w:rsid w:val="00626836"/>
    <w:rsid w:val="006273AE"/>
    <w:rsid w:val="00636301"/>
    <w:rsid w:val="00636866"/>
    <w:rsid w:val="00641280"/>
    <w:rsid w:val="00642060"/>
    <w:rsid w:val="0065299D"/>
    <w:rsid w:val="00660ACC"/>
    <w:rsid w:val="00666AA5"/>
    <w:rsid w:val="006717AB"/>
    <w:rsid w:val="00674CB0"/>
    <w:rsid w:val="0067515A"/>
    <w:rsid w:val="0067680C"/>
    <w:rsid w:val="00691162"/>
    <w:rsid w:val="006917AE"/>
    <w:rsid w:val="006944DE"/>
    <w:rsid w:val="006A0993"/>
    <w:rsid w:val="006B2DA3"/>
    <w:rsid w:val="006B3CC7"/>
    <w:rsid w:val="006D09B9"/>
    <w:rsid w:val="006E0966"/>
    <w:rsid w:val="006E62C1"/>
    <w:rsid w:val="006E68F8"/>
    <w:rsid w:val="006F2232"/>
    <w:rsid w:val="006F6AE7"/>
    <w:rsid w:val="00717878"/>
    <w:rsid w:val="00717F15"/>
    <w:rsid w:val="00725268"/>
    <w:rsid w:val="00756976"/>
    <w:rsid w:val="00761776"/>
    <w:rsid w:val="007643E3"/>
    <w:rsid w:val="0077504B"/>
    <w:rsid w:val="00791A30"/>
    <w:rsid w:val="00796D63"/>
    <w:rsid w:val="007A2501"/>
    <w:rsid w:val="007A44AD"/>
    <w:rsid w:val="007A6AA3"/>
    <w:rsid w:val="007A76C4"/>
    <w:rsid w:val="007B2916"/>
    <w:rsid w:val="007C0B68"/>
    <w:rsid w:val="007C3AEB"/>
    <w:rsid w:val="007D0D21"/>
    <w:rsid w:val="007D2632"/>
    <w:rsid w:val="007D7E81"/>
    <w:rsid w:val="007E16E8"/>
    <w:rsid w:val="007E76E7"/>
    <w:rsid w:val="007F59F1"/>
    <w:rsid w:val="007F5BD6"/>
    <w:rsid w:val="008017A4"/>
    <w:rsid w:val="00801A23"/>
    <w:rsid w:val="008271AF"/>
    <w:rsid w:val="00835E2C"/>
    <w:rsid w:val="00875223"/>
    <w:rsid w:val="00877610"/>
    <w:rsid w:val="0089321E"/>
    <w:rsid w:val="008C0A30"/>
    <w:rsid w:val="008C3074"/>
    <w:rsid w:val="008D7EBA"/>
    <w:rsid w:val="008E1E3B"/>
    <w:rsid w:val="008E76BE"/>
    <w:rsid w:val="008F2304"/>
    <w:rsid w:val="008F61BB"/>
    <w:rsid w:val="008F638A"/>
    <w:rsid w:val="00901DB6"/>
    <w:rsid w:val="00902189"/>
    <w:rsid w:val="009214A1"/>
    <w:rsid w:val="0094441B"/>
    <w:rsid w:val="009478DC"/>
    <w:rsid w:val="00957D4A"/>
    <w:rsid w:val="00963F8D"/>
    <w:rsid w:val="00970E07"/>
    <w:rsid w:val="00973546"/>
    <w:rsid w:val="0097759E"/>
    <w:rsid w:val="0098448A"/>
    <w:rsid w:val="00984F30"/>
    <w:rsid w:val="00987808"/>
    <w:rsid w:val="009B4452"/>
    <w:rsid w:val="009D0117"/>
    <w:rsid w:val="009D3FF6"/>
    <w:rsid w:val="009F17A3"/>
    <w:rsid w:val="00A10281"/>
    <w:rsid w:val="00A30ADE"/>
    <w:rsid w:val="00A715E7"/>
    <w:rsid w:val="00AA0BEA"/>
    <w:rsid w:val="00AA5841"/>
    <w:rsid w:val="00AA770F"/>
    <w:rsid w:val="00AB5900"/>
    <w:rsid w:val="00AD5908"/>
    <w:rsid w:val="00AE32AB"/>
    <w:rsid w:val="00AE4F29"/>
    <w:rsid w:val="00AF36FC"/>
    <w:rsid w:val="00B13941"/>
    <w:rsid w:val="00B15402"/>
    <w:rsid w:val="00B24F8F"/>
    <w:rsid w:val="00B25E0A"/>
    <w:rsid w:val="00B35A04"/>
    <w:rsid w:val="00B5359C"/>
    <w:rsid w:val="00B60D0E"/>
    <w:rsid w:val="00B8495A"/>
    <w:rsid w:val="00B86915"/>
    <w:rsid w:val="00B86E1C"/>
    <w:rsid w:val="00B91E3D"/>
    <w:rsid w:val="00B9646F"/>
    <w:rsid w:val="00B974DD"/>
    <w:rsid w:val="00BB5EC8"/>
    <w:rsid w:val="00BC3891"/>
    <w:rsid w:val="00BC6B48"/>
    <w:rsid w:val="00BD173F"/>
    <w:rsid w:val="00BD710C"/>
    <w:rsid w:val="00BE2A10"/>
    <w:rsid w:val="00BF2B04"/>
    <w:rsid w:val="00C10FDB"/>
    <w:rsid w:val="00C157A4"/>
    <w:rsid w:val="00C275CE"/>
    <w:rsid w:val="00C5211C"/>
    <w:rsid w:val="00C856DC"/>
    <w:rsid w:val="00C91324"/>
    <w:rsid w:val="00C95B3E"/>
    <w:rsid w:val="00CA2470"/>
    <w:rsid w:val="00CA32CB"/>
    <w:rsid w:val="00CA4054"/>
    <w:rsid w:val="00CB0F50"/>
    <w:rsid w:val="00CC0B6E"/>
    <w:rsid w:val="00CC23F8"/>
    <w:rsid w:val="00CC46D0"/>
    <w:rsid w:val="00CD5393"/>
    <w:rsid w:val="00D006BE"/>
    <w:rsid w:val="00D01E21"/>
    <w:rsid w:val="00D040B5"/>
    <w:rsid w:val="00D20462"/>
    <w:rsid w:val="00D22A92"/>
    <w:rsid w:val="00D54344"/>
    <w:rsid w:val="00D5655F"/>
    <w:rsid w:val="00D80C9C"/>
    <w:rsid w:val="00D83021"/>
    <w:rsid w:val="00D83456"/>
    <w:rsid w:val="00D84EB7"/>
    <w:rsid w:val="00DA7B56"/>
    <w:rsid w:val="00DB3DE6"/>
    <w:rsid w:val="00DC2F3F"/>
    <w:rsid w:val="00DE44FF"/>
    <w:rsid w:val="00DF33FD"/>
    <w:rsid w:val="00E001A0"/>
    <w:rsid w:val="00E06D86"/>
    <w:rsid w:val="00E1692C"/>
    <w:rsid w:val="00E218AB"/>
    <w:rsid w:val="00E30104"/>
    <w:rsid w:val="00E42FE6"/>
    <w:rsid w:val="00E4549B"/>
    <w:rsid w:val="00E51E7D"/>
    <w:rsid w:val="00E61088"/>
    <w:rsid w:val="00E64FCF"/>
    <w:rsid w:val="00E82336"/>
    <w:rsid w:val="00EA0BA4"/>
    <w:rsid w:val="00EA46D8"/>
    <w:rsid w:val="00EA6339"/>
    <w:rsid w:val="00EB1B71"/>
    <w:rsid w:val="00EC1254"/>
    <w:rsid w:val="00EC5F86"/>
    <w:rsid w:val="00ED26DE"/>
    <w:rsid w:val="00ED48BC"/>
    <w:rsid w:val="00F03739"/>
    <w:rsid w:val="00F05CC9"/>
    <w:rsid w:val="00F11528"/>
    <w:rsid w:val="00F12CE0"/>
    <w:rsid w:val="00F26A6E"/>
    <w:rsid w:val="00F36883"/>
    <w:rsid w:val="00F46D29"/>
    <w:rsid w:val="00F65DC6"/>
    <w:rsid w:val="00F80F81"/>
    <w:rsid w:val="00F81D8A"/>
    <w:rsid w:val="00F82120"/>
    <w:rsid w:val="00F944A6"/>
    <w:rsid w:val="00FB28A3"/>
    <w:rsid w:val="00FC7CCF"/>
    <w:rsid w:val="00FD5FCC"/>
    <w:rsid w:val="00FE75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1F488"/>
  <w15:chartTrackingRefBased/>
  <w15:docId w15:val="{FB81A93C-2643-5D4B-ABBD-92B060CCC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6AA3"/>
    <w:pPr>
      <w:bidi/>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Body Text"/>
    <w:basedOn w:val="a"/>
    <w:link w:val="a8"/>
    <w:rsid w:val="00070630"/>
    <w:pPr>
      <w:spacing w:after="120"/>
    </w:pPr>
  </w:style>
  <w:style w:type="character" w:customStyle="1" w:styleId="a8">
    <w:name w:val="גוף טקסט תו"/>
    <w:link w:val="a7"/>
    <w:rsid w:val="00070630"/>
    <w:rPr>
      <w:rFonts w:cs="David"/>
      <w:sz w:val="24"/>
      <w:szCs w:val="24"/>
      <w:lang w:val="en-US" w:eastAsia="en-US"/>
    </w:rPr>
  </w:style>
  <w:style w:type="character" w:customStyle="1" w:styleId="1">
    <w:name w:val="גוף טקסט תו1"/>
    <w:basedOn w:val="a0"/>
    <w:uiPriority w:val="99"/>
    <w:rsid w:val="00AE4F29"/>
    <w:rPr>
      <w:rFonts w:ascii="David" w:hAnsi="David" w:cs="David"/>
      <w:color w:val="000000"/>
      <w:spacing w:val="0"/>
      <w:w w:val="100"/>
      <w:position w:val="0"/>
      <w:sz w:val="24"/>
      <w:szCs w:val="24"/>
      <w:u w:val="none"/>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ערכת נושא של Office 2013 -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381</Words>
  <Characters>1880</Characters>
  <Application>Microsoft Office Word</Application>
  <DocSecurity>0</DocSecurity>
  <Lines>144</Lines>
  <Paragraphs>90</Paragraphs>
  <ScaleCrop>false</ScaleCrop>
  <HeadingPairs>
    <vt:vector size="2" baseType="variant">
      <vt:variant>
        <vt:lpstr>שם</vt:lpstr>
      </vt:variant>
      <vt:variant>
        <vt:i4>1</vt:i4>
      </vt:variant>
    </vt:vector>
  </HeadingPairs>
  <TitlesOfParts>
    <vt:vector size="1" baseType="lpstr">
      <vt: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user</dc:creator>
  <cp:keywords/>
  <cp:lastModifiedBy>ariel f</cp:lastModifiedBy>
  <cp:revision>5</cp:revision>
  <cp:lastPrinted>2021-10-20T14:10:00Z</cp:lastPrinted>
  <dcterms:created xsi:type="dcterms:W3CDTF">2024-12-31T10:33:00Z</dcterms:created>
  <dcterms:modified xsi:type="dcterms:W3CDTF">2024-12-31T12:11:00Z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AF</vt:lpwstr>
  </property>
  <property fmtid="{D5CDD505-2E9C-101B-9397-08002B2CF9AE}" pid="45" name="DocCounter">
    <vt:lpwstr>1018227</vt:lpwstr>
  </property>
</Properties>
</file>