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92015" w14:textId="77777777" w:rsidR="00D84EB7" w:rsidRPr="008F2304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 w:hint="cs"/>
          <w:b/>
          <w:bCs/>
          <w:rtl/>
        </w:rPr>
        <w:t xml:space="preserve">בית משפט השלום </w:t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  <w:t xml:space="preserve">ע"נ </w:t>
      </w:r>
      <w:r w:rsidR="00526702">
        <w:rPr>
          <w:rFonts w:cs="David" w:hint="cs"/>
          <w:b/>
          <w:bCs/>
          <w:rtl/>
        </w:rPr>
        <w:t>24/</w:t>
      </w:r>
    </w:p>
    <w:p w14:paraId="3C90A670" w14:textId="77777777" w:rsidR="00D84EB7" w:rsidRPr="008F2304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 w:hint="cs"/>
          <w:b/>
          <w:bCs/>
          <w:rtl/>
        </w:rPr>
        <w:t>בשבתו כועדה לערעורים עפ"י חוק הנכים</w:t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</w:r>
      <w:r w:rsidRPr="001C76B5">
        <w:rPr>
          <w:rFonts w:cs="David" w:hint="cs"/>
          <w:b/>
          <w:bCs/>
          <w:u w:val="single"/>
          <w:rtl/>
        </w:rPr>
        <w:t>בפני כב' השופט י.צור</w:t>
      </w:r>
    </w:p>
    <w:p w14:paraId="144DE43E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 w:rsidRPr="008F2304">
        <w:rPr>
          <w:rFonts w:cs="David" w:hint="cs"/>
          <w:b/>
          <w:bCs/>
          <w:u w:val="single"/>
          <w:rtl/>
        </w:rPr>
        <w:t>בירושלים</w:t>
      </w:r>
      <w:r w:rsidRPr="008F2304"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</w:p>
    <w:p w14:paraId="0B39D1EE" w14:textId="1BF1D0E5" w:rsidR="006B2DA3" w:rsidRDefault="00BB5EC8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>
        <w:rPr>
          <w:rFonts w:cs="David" w:hint="cs"/>
          <w:rtl/>
        </w:rPr>
        <w:t>תאריך חתימת המסמך: 30.9.2024</w:t>
      </w:r>
    </w:p>
    <w:p w14:paraId="2175254C" w14:textId="7182E65B" w:rsidR="00BB5EC8" w:rsidRDefault="00BB5EC8" w:rsidP="00BB5EC8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>
        <w:rPr>
          <w:rFonts w:cs="David" w:hint="cs"/>
          <w:rtl/>
        </w:rPr>
        <w:t>בזיקה להליך: ע"נ 40376-04-16</w:t>
      </w:r>
    </w:p>
    <w:p w14:paraId="44373BCD" w14:textId="77777777" w:rsidR="00D84EB7" w:rsidRDefault="00D84EB7" w:rsidP="006B2DA3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 w:rsidRPr="008F2304">
        <w:rPr>
          <w:rFonts w:cs="David" w:hint="cs"/>
          <w:rtl/>
        </w:rPr>
        <w:tab/>
      </w:r>
      <w:r w:rsidRPr="008F2304">
        <w:rPr>
          <w:rFonts w:cs="David" w:hint="cs"/>
          <w:rtl/>
        </w:rPr>
        <w:tab/>
      </w:r>
      <w:r w:rsidRPr="008F2304">
        <w:rPr>
          <w:rFonts w:cs="David" w:hint="cs"/>
          <w:rtl/>
        </w:rPr>
        <w:tab/>
      </w:r>
    </w:p>
    <w:p w14:paraId="15FE04FC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sz w:val="26"/>
          <w:szCs w:val="26"/>
          <w:rtl/>
        </w:rPr>
      </w:pPr>
      <w:r w:rsidRPr="008F2304">
        <w:rPr>
          <w:rFonts w:cs="David"/>
          <w:b/>
          <w:bCs/>
          <w:rtl/>
        </w:rPr>
        <w:t>ה</w:t>
      </w:r>
      <w:r w:rsidRPr="008F2304">
        <w:rPr>
          <w:rFonts w:cs="David" w:hint="cs"/>
          <w:b/>
          <w:bCs/>
          <w:rtl/>
        </w:rPr>
        <w:t>מערער</w:t>
      </w:r>
      <w:r>
        <w:rPr>
          <w:rFonts w:cs="David" w:hint="cs"/>
          <w:b/>
          <w:bCs/>
          <w:rtl/>
        </w:rPr>
        <w:t>:</w:t>
      </w:r>
      <w:r w:rsidRPr="008F2304">
        <w:rPr>
          <w:rFonts w:cs="David"/>
        </w:rPr>
        <w:tab/>
      </w:r>
      <w:r w:rsidRPr="008F2304">
        <w:rPr>
          <w:rFonts w:cs="David" w:hint="cs"/>
          <w:rtl/>
        </w:rPr>
        <w:tab/>
      </w:r>
      <w:r w:rsidRPr="008F2304">
        <w:rPr>
          <w:rFonts w:cs="David" w:hint="cs"/>
          <w:b/>
          <w:bCs/>
          <w:sz w:val="26"/>
          <w:szCs w:val="26"/>
          <w:rtl/>
        </w:rPr>
        <w:t>דורון טלמור, ת.ז. 028638526</w:t>
      </w:r>
      <w:r w:rsidRPr="008F2304">
        <w:rPr>
          <w:rFonts w:cs="David" w:hint="cs"/>
          <w:sz w:val="26"/>
          <w:szCs w:val="26"/>
          <w:rtl/>
        </w:rPr>
        <w:t xml:space="preserve"> </w:t>
      </w:r>
      <w:r w:rsidRPr="008F2304">
        <w:rPr>
          <w:rFonts w:cs="David"/>
          <w:sz w:val="26"/>
          <w:szCs w:val="26"/>
          <w:rtl/>
        </w:rPr>
        <w:t xml:space="preserve"> </w:t>
      </w:r>
    </w:p>
    <w:p w14:paraId="4D120566" w14:textId="77777777" w:rsidR="00D84EB7" w:rsidRPr="000178BF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sz w:val="26"/>
          <w:szCs w:val="26"/>
        </w:rPr>
      </w:pPr>
      <w:r w:rsidRPr="000178BF">
        <w:rPr>
          <w:rFonts w:cs="David"/>
          <w:sz w:val="26"/>
          <w:szCs w:val="26"/>
        </w:rPr>
        <w:tab/>
      </w:r>
      <w:r w:rsidRPr="000178BF">
        <w:rPr>
          <w:rFonts w:cs="David"/>
          <w:sz w:val="26"/>
          <w:szCs w:val="26"/>
        </w:rPr>
        <w:tab/>
      </w:r>
      <w:r w:rsidRPr="000178BF">
        <w:rPr>
          <w:rFonts w:cs="David"/>
          <w:sz w:val="26"/>
          <w:szCs w:val="26"/>
        </w:rPr>
        <w:tab/>
      </w:r>
      <w:r w:rsidRPr="000178BF">
        <w:rPr>
          <w:rFonts w:cs="David"/>
          <w:sz w:val="26"/>
          <w:szCs w:val="26"/>
          <w:rtl/>
        </w:rPr>
        <w:t xml:space="preserve">באמצעות </w:t>
      </w:r>
      <w:r w:rsidRPr="000178BF">
        <w:rPr>
          <w:rFonts w:cs="David" w:hint="cs"/>
          <w:sz w:val="26"/>
          <w:szCs w:val="26"/>
          <w:rtl/>
        </w:rPr>
        <w:t xml:space="preserve">ב"כ </w:t>
      </w:r>
      <w:r w:rsidRPr="000178BF">
        <w:rPr>
          <w:rFonts w:cs="David"/>
          <w:sz w:val="26"/>
          <w:szCs w:val="26"/>
          <w:rtl/>
        </w:rPr>
        <w:t>עו</w:t>
      </w:r>
      <w:r w:rsidRPr="000178BF">
        <w:rPr>
          <w:rFonts w:cs="David" w:hint="cs"/>
          <w:sz w:val="26"/>
          <w:szCs w:val="26"/>
          <w:rtl/>
        </w:rPr>
        <w:t>ה</w:t>
      </w:r>
      <w:r w:rsidRPr="000178BF">
        <w:rPr>
          <w:rFonts w:cs="David"/>
          <w:sz w:val="26"/>
          <w:szCs w:val="26"/>
          <w:rtl/>
        </w:rPr>
        <w:t xml:space="preserve">"ד </w:t>
      </w:r>
      <w:r w:rsidRPr="000178BF">
        <w:rPr>
          <w:rFonts w:cs="David" w:hint="cs"/>
          <w:sz w:val="26"/>
          <w:szCs w:val="26"/>
          <w:rtl/>
        </w:rPr>
        <w:t>אריאל פרייברג ו/או ניצן בן צבי</w:t>
      </w:r>
    </w:p>
    <w:p w14:paraId="27139B34" w14:textId="1F4A5D65" w:rsidR="00B86E1C" w:rsidRPr="00D32E62" w:rsidRDefault="00D84EB7" w:rsidP="00B86E1C">
      <w:pPr>
        <w:pStyle w:val="a6"/>
        <w:rPr>
          <w:rFonts w:ascii="David" w:hAnsi="David"/>
          <w:sz w:val="26"/>
          <w:szCs w:val="26"/>
          <w:rtl/>
        </w:rPr>
      </w:pPr>
      <w:r w:rsidRPr="000178BF">
        <w:rPr>
          <w:sz w:val="26"/>
          <w:szCs w:val="26"/>
        </w:rPr>
        <w:tab/>
      </w:r>
      <w:r w:rsidR="00B86E1C">
        <w:rPr>
          <w:sz w:val="26"/>
          <w:szCs w:val="26"/>
          <w:rtl/>
        </w:rPr>
        <w:tab/>
      </w:r>
      <w:r w:rsidR="00B86E1C" w:rsidRPr="00D32E62">
        <w:rPr>
          <w:rFonts w:ascii="David" w:hAnsi="David" w:hint="cs"/>
          <w:sz w:val="26"/>
          <w:szCs w:val="26"/>
          <w:rtl/>
        </w:rPr>
        <w:t>מרח' אבא הלל 7 , רמת גן</w:t>
      </w:r>
    </w:p>
    <w:p w14:paraId="3635E1E6" w14:textId="77777777" w:rsidR="00B86E1C" w:rsidRPr="00D32E62" w:rsidRDefault="00B86E1C" w:rsidP="00B86E1C">
      <w:pPr>
        <w:pStyle w:val="a6"/>
        <w:rPr>
          <w:rFonts w:ascii="David" w:hAnsi="David"/>
          <w:sz w:val="26"/>
          <w:szCs w:val="26"/>
          <w:rtl/>
        </w:rPr>
      </w:pPr>
      <w:r w:rsidRPr="00D32E62">
        <w:rPr>
          <w:rFonts w:ascii="David" w:hAnsi="David"/>
          <w:sz w:val="26"/>
          <w:szCs w:val="26"/>
          <w:rtl/>
        </w:rPr>
        <w:tab/>
      </w:r>
      <w:r w:rsidRPr="00D32E62">
        <w:rPr>
          <w:rFonts w:ascii="David" w:hAnsi="David"/>
          <w:sz w:val="26"/>
          <w:szCs w:val="26"/>
          <w:rtl/>
        </w:rPr>
        <w:tab/>
      </w:r>
      <w:r w:rsidRPr="00D32E62">
        <w:rPr>
          <w:rFonts w:ascii="David" w:hAnsi="David" w:hint="cs"/>
          <w:sz w:val="26"/>
          <w:szCs w:val="26"/>
          <w:rtl/>
        </w:rPr>
        <w:t>טל' : 03-7412358  ,  פקס: 077-3180983</w:t>
      </w:r>
    </w:p>
    <w:p w14:paraId="4C27FD62" w14:textId="24EEF951" w:rsidR="00B86E1C" w:rsidRDefault="00B86E1C" w:rsidP="00B86E1C">
      <w:pPr>
        <w:spacing w:line="360" w:lineRule="auto"/>
        <w:jc w:val="both"/>
        <w:rPr>
          <w:rFonts w:hint="cs"/>
          <w:spacing w:val="12"/>
          <w:sz w:val="26"/>
          <w:szCs w:val="26"/>
          <w:rtl/>
        </w:rPr>
      </w:pP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 xml:space="preserve">דוא"ל: </w:t>
      </w:r>
      <w:r w:rsidR="00060805" w:rsidRPr="00D54344">
        <w:rPr>
          <w:rStyle w:val="Hyperlink"/>
          <w:color w:val="auto"/>
          <w:spacing w:val="12"/>
          <w:sz w:val="26"/>
          <w:szCs w:val="26"/>
          <w:u w:val="none"/>
        </w:rPr>
        <w:t>office@freiberg-law.com</w:t>
      </w:r>
    </w:p>
    <w:p w14:paraId="5E03CA17" w14:textId="353087B9" w:rsidR="00D84EB7" w:rsidRDefault="00D84EB7" w:rsidP="00B86E1C">
      <w:pPr>
        <w:spacing w:line="276" w:lineRule="auto"/>
        <w:ind w:left="934" w:firstLine="506"/>
        <w:rPr>
          <w:rtl/>
        </w:rPr>
      </w:pPr>
    </w:p>
    <w:p w14:paraId="303AF0A1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rPr>
          <w:rFonts w:cs="David"/>
          <w:b/>
          <w:bCs/>
          <w:rtl/>
        </w:rPr>
      </w:pP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  <w:t xml:space="preserve">-  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>נ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 xml:space="preserve"> ג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 xml:space="preserve"> ד</w:t>
      </w:r>
      <w:r w:rsidRPr="008F2304">
        <w:rPr>
          <w:rFonts w:cs="David" w:hint="cs"/>
          <w:b/>
          <w:bCs/>
          <w:rtl/>
        </w:rPr>
        <w:t xml:space="preserve">  -</w:t>
      </w:r>
    </w:p>
    <w:p w14:paraId="627D13D4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</w:p>
    <w:p w14:paraId="736E9C08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b/>
          <w:bCs/>
          <w:sz w:val="26"/>
          <w:szCs w:val="26"/>
          <w:rtl/>
        </w:rPr>
      </w:pPr>
      <w:r w:rsidRPr="008F2304">
        <w:rPr>
          <w:rFonts w:cs="David"/>
          <w:b/>
          <w:bCs/>
          <w:rtl/>
        </w:rPr>
        <w:t>ה</w:t>
      </w:r>
      <w:r w:rsidRPr="008F2304">
        <w:rPr>
          <w:rFonts w:cs="David" w:hint="cs"/>
          <w:b/>
          <w:bCs/>
          <w:rtl/>
        </w:rPr>
        <w:t>משיב</w:t>
      </w:r>
      <w:r>
        <w:rPr>
          <w:rFonts w:cs="David" w:hint="cs"/>
          <w:b/>
          <w:bCs/>
          <w:rtl/>
        </w:rPr>
        <w:t>:</w:t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sz w:val="26"/>
          <w:szCs w:val="26"/>
          <w:rtl/>
        </w:rPr>
        <w:t xml:space="preserve">משרד הביטחון </w:t>
      </w:r>
      <w:r>
        <w:rPr>
          <w:rFonts w:cs="David" w:hint="cs"/>
          <w:b/>
          <w:bCs/>
          <w:sz w:val="26"/>
          <w:szCs w:val="26"/>
          <w:rtl/>
        </w:rPr>
        <w:t xml:space="preserve">- </w:t>
      </w:r>
      <w:r w:rsidRPr="008F2304">
        <w:rPr>
          <w:rFonts w:cs="David" w:hint="cs"/>
          <w:b/>
          <w:bCs/>
          <w:sz w:val="26"/>
          <w:szCs w:val="26"/>
          <w:rtl/>
        </w:rPr>
        <w:t xml:space="preserve">קצין התגמולים </w:t>
      </w:r>
      <w:r>
        <w:rPr>
          <w:rFonts w:cs="David" w:hint="cs"/>
          <w:b/>
          <w:bCs/>
          <w:sz w:val="26"/>
          <w:szCs w:val="26"/>
          <w:rtl/>
        </w:rPr>
        <w:tab/>
      </w:r>
    </w:p>
    <w:p w14:paraId="7564CDF2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ע"י ב"כ מפרקליטות מחוז ירושלים (אזרחי)</w:t>
      </w:r>
    </w:p>
    <w:p w14:paraId="373DC476" w14:textId="77777777" w:rsidR="00D84EB7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רח' מח"ל 7, ת.ד. 49333, ירושלים 91493</w:t>
      </w:r>
    </w:p>
    <w:p w14:paraId="57A6ACF8" w14:textId="77777777" w:rsidR="00D84EB7" w:rsidRPr="005455D8" w:rsidRDefault="00D84EB7" w:rsidP="00D84EB7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276" w:lineRule="auto"/>
        <w:jc w:val="both"/>
        <w:rPr>
          <w:rFonts w:cs="David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טל': 02-5419566</w:t>
      </w:r>
      <w:r>
        <w:rPr>
          <w:rFonts w:cs="David"/>
          <w:sz w:val="26"/>
          <w:szCs w:val="26"/>
        </w:rPr>
        <w:t>;</w:t>
      </w:r>
      <w:r>
        <w:rPr>
          <w:rFonts w:cs="David" w:hint="cs"/>
          <w:sz w:val="26"/>
          <w:szCs w:val="26"/>
          <w:rtl/>
        </w:rPr>
        <w:t xml:space="preserve"> פקס: 02-5419581</w:t>
      </w:r>
    </w:p>
    <w:p w14:paraId="30469896" w14:textId="77777777" w:rsidR="00F12CE0" w:rsidRPr="008F2304" w:rsidRDefault="00F12CE0" w:rsidP="000F100D">
      <w:pPr>
        <w:jc w:val="both"/>
        <w:rPr>
          <w:rtl/>
        </w:rPr>
      </w:pPr>
    </w:p>
    <w:p w14:paraId="1F587AF3" w14:textId="77777777" w:rsidR="007D7E81" w:rsidRDefault="007D7E81" w:rsidP="007D7E81">
      <w:pPr>
        <w:rPr>
          <w:b/>
          <w:bCs/>
          <w:sz w:val="38"/>
          <w:szCs w:val="38"/>
          <w:u w:val="single"/>
          <w:rtl/>
        </w:rPr>
      </w:pPr>
      <w:r w:rsidRPr="007D7E81">
        <w:rPr>
          <w:b/>
          <w:bCs/>
          <w:sz w:val="38"/>
          <w:szCs w:val="38"/>
          <w:rtl/>
        </w:rPr>
        <w:tab/>
      </w:r>
      <w:r w:rsidRPr="007D7E81">
        <w:rPr>
          <w:b/>
          <w:bCs/>
          <w:sz w:val="38"/>
          <w:szCs w:val="38"/>
          <w:rtl/>
        </w:rPr>
        <w:tab/>
      </w:r>
      <w:r w:rsidRPr="007D7E81">
        <w:rPr>
          <w:b/>
          <w:bCs/>
          <w:sz w:val="38"/>
          <w:szCs w:val="38"/>
          <w:rtl/>
        </w:rPr>
        <w:tab/>
      </w:r>
      <w:r w:rsidRPr="007D7E81">
        <w:rPr>
          <w:b/>
          <w:bCs/>
          <w:sz w:val="38"/>
          <w:szCs w:val="38"/>
          <w:rtl/>
        </w:rPr>
        <w:tab/>
      </w:r>
      <w:r w:rsidRPr="00502658">
        <w:rPr>
          <w:rFonts w:hint="cs"/>
          <w:b/>
          <w:bCs/>
          <w:sz w:val="38"/>
          <w:szCs w:val="38"/>
          <w:u w:val="single"/>
          <w:rtl/>
        </w:rPr>
        <w:t>כתב ערעור</w:t>
      </w:r>
      <w:r w:rsidR="00DE44FF" w:rsidRPr="00502658">
        <w:rPr>
          <w:rFonts w:hint="cs"/>
          <w:b/>
          <w:bCs/>
          <w:sz w:val="38"/>
          <w:szCs w:val="38"/>
          <w:u w:val="single"/>
          <w:rtl/>
        </w:rPr>
        <w:t xml:space="preserve"> </w:t>
      </w:r>
    </w:p>
    <w:p w14:paraId="2071888E" w14:textId="77777777" w:rsidR="00526702" w:rsidRPr="00526702" w:rsidRDefault="00526702" w:rsidP="007D7E81">
      <w:pPr>
        <w:rPr>
          <w:b/>
          <w:bCs/>
          <w:sz w:val="22"/>
          <w:szCs w:val="22"/>
          <w:rtl/>
        </w:rPr>
      </w:pPr>
      <w:r w:rsidRPr="00526702">
        <w:rPr>
          <w:sz w:val="22"/>
          <w:szCs w:val="22"/>
          <w:rtl/>
        </w:rPr>
        <w:tab/>
      </w:r>
      <w:r w:rsidRPr="00526702">
        <w:rPr>
          <w:sz w:val="22"/>
          <w:szCs w:val="22"/>
          <w:rtl/>
        </w:rPr>
        <w:tab/>
      </w:r>
      <w:r w:rsidRPr="00526702">
        <w:rPr>
          <w:sz w:val="22"/>
          <w:szCs w:val="22"/>
          <w:rtl/>
        </w:rPr>
        <w:tab/>
      </w:r>
      <w:r w:rsidRPr="00526702">
        <w:rPr>
          <w:sz w:val="22"/>
          <w:szCs w:val="22"/>
          <w:rtl/>
        </w:rPr>
        <w:tab/>
      </w:r>
      <w:r w:rsidRPr="00526702">
        <w:rPr>
          <w:rFonts w:hint="cs"/>
          <w:b/>
          <w:bCs/>
          <w:sz w:val="22"/>
          <w:szCs w:val="22"/>
          <w:rtl/>
        </w:rPr>
        <w:t>בזיקה להליך ע"נ 40376-04-16</w:t>
      </w:r>
    </w:p>
    <w:p w14:paraId="3E9085FB" w14:textId="77777777" w:rsidR="00B9646F" w:rsidRDefault="00B9646F" w:rsidP="00B9646F">
      <w:pPr>
        <w:rPr>
          <w:rtl/>
        </w:rPr>
      </w:pPr>
    </w:p>
    <w:p w14:paraId="4970B238" w14:textId="77777777" w:rsidR="001C2C5E" w:rsidRPr="00D01E21" w:rsidRDefault="001C2C5E" w:rsidP="00070630">
      <w:pPr>
        <w:numPr>
          <w:ilvl w:val="0"/>
          <w:numId w:val="12"/>
        </w:numPr>
        <w:spacing w:line="360" w:lineRule="auto"/>
        <w:ind w:left="-52"/>
        <w:jc w:val="both"/>
        <w:rPr>
          <w:b/>
          <w:bCs/>
          <w:sz w:val="26"/>
          <w:szCs w:val="26"/>
          <w:u w:val="single"/>
        </w:rPr>
      </w:pPr>
      <w:r w:rsidRPr="00D01E21">
        <w:rPr>
          <w:rFonts w:hint="cs"/>
          <w:b/>
          <w:bCs/>
          <w:sz w:val="26"/>
          <w:szCs w:val="26"/>
          <w:u w:val="single"/>
          <w:rtl/>
        </w:rPr>
        <w:t>פתח דבר</w:t>
      </w:r>
      <w:r>
        <w:rPr>
          <w:rFonts w:hint="cs"/>
          <w:b/>
          <w:bCs/>
          <w:sz w:val="26"/>
          <w:szCs w:val="26"/>
          <w:u w:val="single"/>
          <w:rtl/>
        </w:rPr>
        <w:t>:</w:t>
      </w:r>
    </w:p>
    <w:p w14:paraId="0371E57D" w14:textId="77777777" w:rsidR="00B9646F" w:rsidRDefault="00526702" w:rsidP="00070630">
      <w:pPr>
        <w:spacing w:line="360" w:lineRule="auto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כתב הערעור המקורי הוגש בחודש אפריל 2016 ונדון בהליך ע"נ 40376-04-16 </w:t>
      </w:r>
      <w:r>
        <w:rPr>
          <w:rFonts w:hint="cs"/>
          <w:b/>
          <w:bCs/>
          <w:sz w:val="26"/>
          <w:szCs w:val="26"/>
          <w:rtl/>
        </w:rPr>
        <w:t>טלמור נ' קצין התגמולים</w:t>
      </w:r>
      <w:r>
        <w:rPr>
          <w:rFonts w:hint="cs"/>
          <w:sz w:val="26"/>
          <w:szCs w:val="26"/>
          <w:rtl/>
        </w:rPr>
        <w:t xml:space="preserve"> (להלן:"</w:t>
      </w:r>
      <w:r>
        <w:rPr>
          <w:rFonts w:hint="cs"/>
          <w:b/>
          <w:bCs/>
          <w:sz w:val="26"/>
          <w:szCs w:val="26"/>
          <w:rtl/>
        </w:rPr>
        <w:t>ההליך המקורי</w:t>
      </w:r>
      <w:r>
        <w:rPr>
          <w:rFonts w:hint="cs"/>
          <w:sz w:val="26"/>
          <w:szCs w:val="26"/>
          <w:rtl/>
        </w:rPr>
        <w:t>").</w:t>
      </w:r>
    </w:p>
    <w:p w14:paraId="437DA967" w14:textId="77777777" w:rsidR="001C2C5E" w:rsidRDefault="001C2C5E" w:rsidP="00070630">
      <w:pPr>
        <w:spacing w:line="360" w:lineRule="auto"/>
        <w:jc w:val="both"/>
        <w:rPr>
          <w:sz w:val="26"/>
          <w:szCs w:val="26"/>
          <w:rtl/>
        </w:rPr>
      </w:pPr>
    </w:p>
    <w:p w14:paraId="46D8A8B6" w14:textId="2FD901BD" w:rsidR="001C2C5E" w:rsidRDefault="001C2C5E" w:rsidP="00070630">
      <w:pPr>
        <w:numPr>
          <w:ilvl w:val="0"/>
          <w:numId w:val="12"/>
        </w:numPr>
        <w:spacing w:line="360" w:lineRule="auto"/>
        <w:ind w:left="-52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ההליך המקורי עניינו ערעור על החלטת המשיב </w:t>
      </w:r>
      <w:r w:rsidR="00321886">
        <w:rPr>
          <w:rFonts w:hint="cs"/>
          <w:sz w:val="26"/>
          <w:szCs w:val="26"/>
          <w:rtl/>
        </w:rPr>
        <w:t xml:space="preserve">הדוחה את תביעת המערער להכיר </w:t>
      </w:r>
      <w:r>
        <w:rPr>
          <w:rFonts w:hint="cs"/>
          <w:sz w:val="26"/>
          <w:szCs w:val="26"/>
          <w:rtl/>
        </w:rPr>
        <w:t xml:space="preserve">במחלת </w:t>
      </w:r>
      <w:r>
        <w:rPr>
          <w:sz w:val="26"/>
          <w:szCs w:val="26"/>
        </w:rPr>
        <w:t xml:space="preserve">IgA </w:t>
      </w:r>
      <w:proofErr w:type="spellStart"/>
      <w:r>
        <w:rPr>
          <w:sz w:val="26"/>
          <w:szCs w:val="26"/>
        </w:rPr>
        <w:t>Neprhropathy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r w:rsidR="00DC2F3F">
        <w:rPr>
          <w:rFonts w:hint="cs"/>
          <w:sz w:val="26"/>
          <w:szCs w:val="26"/>
          <w:rtl/>
        </w:rPr>
        <w:t>(</w:t>
      </w:r>
      <w:proofErr w:type="spellStart"/>
      <w:r>
        <w:rPr>
          <w:rFonts w:hint="cs"/>
          <w:sz w:val="26"/>
          <w:szCs w:val="26"/>
          <w:rtl/>
        </w:rPr>
        <w:t>להלן:"</w:t>
      </w:r>
      <w:r>
        <w:rPr>
          <w:rFonts w:hint="cs"/>
          <w:b/>
          <w:bCs/>
          <w:sz w:val="26"/>
          <w:szCs w:val="26"/>
          <w:rtl/>
        </w:rPr>
        <w:t>המחלה</w:t>
      </w:r>
      <w:proofErr w:type="spellEnd"/>
      <w:r>
        <w:rPr>
          <w:rFonts w:hint="cs"/>
          <w:b/>
          <w:bCs/>
          <w:sz w:val="26"/>
          <w:szCs w:val="26"/>
          <w:rtl/>
        </w:rPr>
        <w:t xml:space="preserve"> הכלייתית</w:t>
      </w:r>
      <w:r w:rsidR="00DC2F3F">
        <w:rPr>
          <w:rFonts w:hint="cs"/>
          <w:b/>
          <w:bCs/>
          <w:sz w:val="26"/>
          <w:szCs w:val="26"/>
          <w:rtl/>
        </w:rPr>
        <w:t>/מחלת הכליות</w:t>
      </w:r>
      <w:r>
        <w:rPr>
          <w:rFonts w:hint="cs"/>
          <w:sz w:val="26"/>
          <w:szCs w:val="26"/>
          <w:rtl/>
        </w:rPr>
        <w:t>") ממנה סובל המערער לבין שירותו הצבאי.</w:t>
      </w:r>
    </w:p>
    <w:p w14:paraId="00CD3539" w14:textId="77777777" w:rsidR="001C2C5E" w:rsidRDefault="001C2C5E" w:rsidP="00070630">
      <w:pPr>
        <w:spacing w:line="360" w:lineRule="auto"/>
        <w:ind w:left="-52"/>
        <w:jc w:val="both"/>
        <w:rPr>
          <w:sz w:val="26"/>
          <w:szCs w:val="26"/>
        </w:rPr>
      </w:pPr>
    </w:p>
    <w:p w14:paraId="5B7F7CC9" w14:textId="51F4A7B2" w:rsidR="001C2C5E" w:rsidRDefault="001C2C5E" w:rsidP="006B2DA3">
      <w:pPr>
        <w:numPr>
          <w:ilvl w:val="0"/>
          <w:numId w:val="12"/>
        </w:numPr>
        <w:spacing w:line="360" w:lineRule="auto"/>
        <w:ind w:left="-52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</w:t>
      </w:r>
      <w:r w:rsidR="004E2C36">
        <w:rPr>
          <w:rFonts w:hint="cs"/>
          <w:sz w:val="26"/>
          <w:szCs w:val="26"/>
          <w:rtl/>
        </w:rPr>
        <w:t>מסגרת ה</w:t>
      </w:r>
      <w:r>
        <w:rPr>
          <w:rFonts w:hint="cs"/>
          <w:sz w:val="26"/>
          <w:szCs w:val="26"/>
          <w:rtl/>
        </w:rPr>
        <w:t xml:space="preserve">הליך המקורי, לאחר שהוגשו חוות דעת, במסגרתן עלה נושא מחלת האסטמה ממנה סובל המערער והוחמרה משמעותית </w:t>
      </w:r>
      <w:r w:rsidR="00070630">
        <w:rPr>
          <w:rFonts w:hint="cs"/>
          <w:sz w:val="26"/>
          <w:szCs w:val="26"/>
          <w:rtl/>
        </w:rPr>
        <w:t>בזמן ו</w:t>
      </w:r>
      <w:r>
        <w:rPr>
          <w:rFonts w:hint="cs"/>
          <w:sz w:val="26"/>
          <w:szCs w:val="26"/>
          <w:rtl/>
        </w:rPr>
        <w:t xml:space="preserve">כתוצאה משירותו, ולאחר שניתנה החלטת הוועדה הנכבדה בדבר מתן מועדים לקיומו של הליך הוכחות, הגיש המשיב בקשה </w:t>
      </w:r>
      <w:r w:rsidR="00070630">
        <w:rPr>
          <w:rFonts w:hint="cs"/>
          <w:sz w:val="26"/>
          <w:szCs w:val="26"/>
          <w:rtl/>
        </w:rPr>
        <w:t>למחיקת ההליך על הסף</w:t>
      </w:r>
      <w:r w:rsidR="0046687A">
        <w:rPr>
          <w:rFonts w:hint="cs"/>
          <w:sz w:val="26"/>
          <w:szCs w:val="26"/>
          <w:rtl/>
        </w:rPr>
        <w:t>.</w:t>
      </w:r>
    </w:p>
    <w:p w14:paraId="44E303E3" w14:textId="77777777" w:rsidR="00070630" w:rsidRDefault="00070630" w:rsidP="00070630">
      <w:pPr>
        <w:pStyle w:val="a6"/>
        <w:spacing w:line="360" w:lineRule="auto"/>
        <w:rPr>
          <w:sz w:val="26"/>
          <w:szCs w:val="26"/>
          <w:rtl/>
        </w:rPr>
      </w:pPr>
    </w:p>
    <w:p w14:paraId="5418EABD" w14:textId="77777777" w:rsidR="00070630" w:rsidRDefault="00070630" w:rsidP="00070630">
      <w:pPr>
        <w:numPr>
          <w:ilvl w:val="0"/>
          <w:numId w:val="12"/>
        </w:numPr>
        <w:spacing w:line="360" w:lineRule="auto"/>
        <w:ind w:left="-335" w:hanging="142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ביום 5/12/2018 ניתנה החלטת הוועדה הנכבדה לפיה:</w:t>
      </w:r>
    </w:p>
    <w:p w14:paraId="5AF2353E" w14:textId="1DF45601" w:rsidR="00070630" w:rsidRDefault="00070630" w:rsidP="006B2DA3">
      <w:pPr>
        <w:spacing w:line="360" w:lineRule="auto"/>
        <w:ind w:left="90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"...</w:t>
      </w:r>
      <w:r w:rsidRPr="00070630">
        <w:rPr>
          <w:sz w:val="26"/>
          <w:szCs w:val="26"/>
          <w:rtl/>
        </w:rPr>
        <w:t xml:space="preserve">לפיכך, הננו מקבלים את הבקשה למחיקה על הסף של הערעור. המערער יפעל לפי האמור בהחלטה זו </w:t>
      </w:r>
      <w:r w:rsidRPr="006917AE">
        <w:rPr>
          <w:b/>
          <w:bCs/>
          <w:sz w:val="26"/>
          <w:szCs w:val="26"/>
          <w:u w:val="single"/>
          <w:rtl/>
        </w:rPr>
        <w:t>ולאחר מכן ניתן יהיה לברר את הערעור דנן בהתאם לתוצאות שיתקבלו בהליך שיבחן את טענת ההחמרה במחלת האסטמה כתוצאה מהשירות הצבאי</w:t>
      </w:r>
      <w:r w:rsidRPr="00070630">
        <w:rPr>
          <w:sz w:val="26"/>
          <w:szCs w:val="26"/>
          <w:rtl/>
        </w:rPr>
        <w:t>.</w:t>
      </w:r>
      <w:r>
        <w:rPr>
          <w:rFonts w:hint="cs"/>
          <w:sz w:val="26"/>
          <w:szCs w:val="26"/>
          <w:rtl/>
        </w:rPr>
        <w:t xml:space="preserve">" </w:t>
      </w:r>
      <w:r w:rsidR="006917AE">
        <w:rPr>
          <w:rFonts w:hint="cs"/>
          <w:sz w:val="26"/>
          <w:szCs w:val="26"/>
          <w:rtl/>
        </w:rPr>
        <w:t>(</w:t>
      </w:r>
      <w:proofErr w:type="spellStart"/>
      <w:r w:rsidR="006917AE">
        <w:rPr>
          <w:rFonts w:hint="cs"/>
          <w:sz w:val="26"/>
          <w:szCs w:val="26"/>
          <w:rtl/>
        </w:rPr>
        <w:t>הההדגשות</w:t>
      </w:r>
      <w:proofErr w:type="spellEnd"/>
      <w:r w:rsidR="006917AE">
        <w:rPr>
          <w:rFonts w:hint="cs"/>
          <w:sz w:val="26"/>
          <w:szCs w:val="26"/>
          <w:rtl/>
        </w:rPr>
        <w:t xml:space="preserve"> לא במקור-הח"מ).</w:t>
      </w:r>
    </w:p>
    <w:p w14:paraId="18F16A89" w14:textId="77777777" w:rsidR="00070630" w:rsidRDefault="00070630" w:rsidP="00070630">
      <w:pPr>
        <w:spacing w:line="360" w:lineRule="auto"/>
        <w:ind w:left="-335"/>
        <w:jc w:val="both"/>
        <w:rPr>
          <w:sz w:val="26"/>
          <w:szCs w:val="26"/>
          <w:rtl/>
        </w:rPr>
      </w:pPr>
    </w:p>
    <w:p w14:paraId="0090C98A" w14:textId="77777777" w:rsidR="00070630" w:rsidRDefault="00070630" w:rsidP="00070630">
      <w:pPr>
        <w:spacing w:line="360" w:lineRule="auto"/>
        <w:ind w:left="-335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(פסקה 10 להחלטת הוועדה הנכבדה בהליך המקורי).</w:t>
      </w:r>
    </w:p>
    <w:p w14:paraId="42C4ECDC" w14:textId="77777777" w:rsidR="00070630" w:rsidRPr="00070630" w:rsidRDefault="00070630" w:rsidP="00070630">
      <w:pPr>
        <w:spacing w:line="360" w:lineRule="auto"/>
        <w:ind w:left="-33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 xml:space="preserve">להלן פסקאות 8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10 מהחלטת הוועדה הנכבדה כאמור:</w:t>
      </w:r>
    </w:p>
    <w:p w14:paraId="2B5ABBC1" w14:textId="77777777" w:rsidR="00070630" w:rsidRDefault="00BE2A10" w:rsidP="006B2DA3">
      <w:pPr>
        <w:ind w:left="-760"/>
        <w:jc w:val="both"/>
        <w:rPr>
          <w:sz w:val="26"/>
          <w:szCs w:val="26"/>
          <w:rtl/>
        </w:rPr>
      </w:pPr>
      <w:r w:rsidRPr="003D539A">
        <w:rPr>
          <w:noProof/>
        </w:rPr>
        <w:drawing>
          <wp:inline distT="0" distB="0" distL="0" distR="0" wp14:anchorId="13713069" wp14:editId="45CC1324">
            <wp:extent cx="5778500" cy="4813300"/>
            <wp:effectExtent l="0" t="0" r="0" b="0"/>
            <wp:docPr id="1" name="תמונה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481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1A36B" w14:textId="77777777" w:rsidR="00526702" w:rsidRDefault="00526702" w:rsidP="005C6D23">
      <w:pPr>
        <w:jc w:val="both"/>
        <w:rPr>
          <w:sz w:val="26"/>
          <w:szCs w:val="26"/>
          <w:rtl/>
        </w:rPr>
      </w:pPr>
    </w:p>
    <w:p w14:paraId="35472493" w14:textId="2C3980DC" w:rsidR="006B2DA3" w:rsidRPr="006B2DA3" w:rsidRDefault="00070630" w:rsidP="00070630">
      <w:pPr>
        <w:numPr>
          <w:ilvl w:val="0"/>
          <w:numId w:val="12"/>
        </w:numPr>
        <w:ind w:left="-193" w:hanging="426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כמצוות החלטת הוועדה הנכבדה הגיש המערער תביעה להכרה במחלת האסטמה, תביעתו נדח</w:t>
      </w:r>
      <w:r w:rsidR="006B2DA3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ה ועל החלטת המשיב הוגש ערעור שהתנהל בפני המותב הנכבד בהליך ע"נ 7125-09-20 </w:t>
      </w:r>
      <w:r w:rsidRPr="00070630">
        <w:rPr>
          <w:rFonts w:hint="cs"/>
          <w:b/>
          <w:bCs/>
          <w:sz w:val="26"/>
          <w:szCs w:val="26"/>
          <w:rtl/>
        </w:rPr>
        <w:t>פלוני (המערער) נ' קצין התגמולים</w:t>
      </w:r>
      <w:r w:rsidR="006B2DA3">
        <w:rPr>
          <w:rFonts w:hint="cs"/>
          <w:b/>
          <w:bCs/>
          <w:sz w:val="26"/>
          <w:szCs w:val="26"/>
          <w:rtl/>
        </w:rPr>
        <w:t>.</w:t>
      </w:r>
    </w:p>
    <w:p w14:paraId="0552FA0A" w14:textId="77777777" w:rsidR="006B2DA3" w:rsidRPr="006B2DA3" w:rsidRDefault="006B2DA3" w:rsidP="006B2DA3">
      <w:pPr>
        <w:ind w:left="-193"/>
        <w:jc w:val="both"/>
        <w:rPr>
          <w:sz w:val="26"/>
          <w:szCs w:val="26"/>
        </w:rPr>
      </w:pPr>
    </w:p>
    <w:p w14:paraId="5B4F14EB" w14:textId="22180AD2" w:rsidR="00D22A92" w:rsidRDefault="00070630" w:rsidP="00070630">
      <w:pPr>
        <w:numPr>
          <w:ilvl w:val="0"/>
          <w:numId w:val="12"/>
        </w:numPr>
        <w:ind w:left="-193" w:hanging="426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בתאריך 9/5/2023 ניתן פסק דינה</w:t>
      </w:r>
      <w:r w:rsidR="006B2DA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של הוועדה הנכבדה</w:t>
      </w:r>
      <w:r w:rsidR="00636301">
        <w:rPr>
          <w:rFonts w:hint="cs"/>
          <w:sz w:val="26"/>
          <w:szCs w:val="26"/>
          <w:rtl/>
        </w:rPr>
        <w:t xml:space="preserve"> </w:t>
      </w:r>
      <w:r w:rsidR="00636301">
        <w:rPr>
          <w:rFonts w:hint="cs"/>
          <w:sz w:val="26"/>
          <w:szCs w:val="26"/>
          <w:rtl/>
        </w:rPr>
        <w:t>(להלן: "</w:t>
      </w:r>
      <w:r w:rsidR="00636301">
        <w:rPr>
          <w:rFonts w:hint="cs"/>
          <w:b/>
          <w:bCs/>
          <w:sz w:val="26"/>
          <w:szCs w:val="26"/>
          <w:rtl/>
        </w:rPr>
        <w:t>הליך ההכרה במחלת האסטמה")</w:t>
      </w:r>
      <w:r w:rsidR="00636301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 </w:t>
      </w:r>
      <w:r w:rsidR="0067515A">
        <w:rPr>
          <w:rFonts w:hint="cs"/>
          <w:sz w:val="26"/>
          <w:szCs w:val="26"/>
          <w:rtl/>
        </w:rPr>
        <w:t xml:space="preserve">במסגרתו התקבלה חוות דעת המומחה מטעם המערער, פרופ' </w:t>
      </w:r>
      <w:proofErr w:type="spellStart"/>
      <w:r w:rsidR="0067515A">
        <w:rPr>
          <w:rFonts w:hint="cs"/>
          <w:sz w:val="26"/>
          <w:szCs w:val="26"/>
          <w:rtl/>
        </w:rPr>
        <w:t>פרוכטר</w:t>
      </w:r>
      <w:proofErr w:type="spellEnd"/>
      <w:r w:rsidR="007A76C4">
        <w:rPr>
          <w:rFonts w:hint="cs"/>
          <w:sz w:val="26"/>
          <w:szCs w:val="26"/>
          <w:rtl/>
        </w:rPr>
        <w:t>,</w:t>
      </w:r>
      <w:r w:rsidR="0067515A">
        <w:rPr>
          <w:rFonts w:hint="cs"/>
          <w:sz w:val="26"/>
          <w:szCs w:val="26"/>
          <w:rtl/>
        </w:rPr>
        <w:t xml:space="preserve"> במלואה, </w:t>
      </w:r>
      <w:r w:rsidR="00C95B3E">
        <w:rPr>
          <w:rFonts w:hint="cs"/>
          <w:sz w:val="26"/>
          <w:szCs w:val="26"/>
          <w:rtl/>
        </w:rPr>
        <w:t xml:space="preserve">הוועדה הנכבדה </w:t>
      </w:r>
      <w:r w:rsidR="00B8495A">
        <w:rPr>
          <w:rFonts w:hint="cs"/>
          <w:sz w:val="26"/>
          <w:szCs w:val="26"/>
          <w:rtl/>
        </w:rPr>
        <w:t xml:space="preserve">אימצה את </w:t>
      </w:r>
      <w:r w:rsidR="0067515A">
        <w:rPr>
          <w:rFonts w:hint="cs"/>
          <w:sz w:val="26"/>
          <w:szCs w:val="26"/>
          <w:rtl/>
        </w:rPr>
        <w:t>מסקנותיו</w:t>
      </w:r>
      <w:r w:rsidR="00B8495A">
        <w:rPr>
          <w:rFonts w:hint="cs"/>
          <w:sz w:val="26"/>
          <w:szCs w:val="26"/>
          <w:rtl/>
        </w:rPr>
        <w:t xml:space="preserve"> של המומחה מטעמו של המערער</w:t>
      </w:r>
      <w:r w:rsidR="0067515A">
        <w:rPr>
          <w:rFonts w:hint="cs"/>
          <w:sz w:val="26"/>
          <w:szCs w:val="26"/>
          <w:rtl/>
        </w:rPr>
        <w:t xml:space="preserve"> ונקבע כי</w:t>
      </w:r>
      <w:r w:rsidR="00D22A92">
        <w:rPr>
          <w:rFonts w:hint="cs"/>
          <w:sz w:val="26"/>
          <w:szCs w:val="26"/>
          <w:rtl/>
        </w:rPr>
        <w:t>:</w:t>
      </w:r>
    </w:p>
    <w:p w14:paraId="1D9282CA" w14:textId="77777777" w:rsidR="006B2DA3" w:rsidRDefault="006B2DA3" w:rsidP="006B2DA3">
      <w:pPr>
        <w:ind w:left="-193"/>
        <w:jc w:val="both"/>
        <w:rPr>
          <w:sz w:val="26"/>
          <w:szCs w:val="26"/>
        </w:rPr>
      </w:pPr>
    </w:p>
    <w:p w14:paraId="18B04FEF" w14:textId="77777777" w:rsidR="00D22A92" w:rsidRPr="00D22A92" w:rsidRDefault="00D22A92" w:rsidP="00D22A92">
      <w:pPr>
        <w:ind w:left="-193"/>
        <w:jc w:val="both"/>
        <w:rPr>
          <w:b/>
          <w:bCs/>
          <w:sz w:val="26"/>
          <w:szCs w:val="26"/>
        </w:rPr>
      </w:pPr>
      <w:r w:rsidRPr="00D22A92">
        <w:rPr>
          <w:rFonts w:hint="cs"/>
          <w:b/>
          <w:bCs/>
          <w:sz w:val="26"/>
          <w:szCs w:val="26"/>
          <w:rtl/>
        </w:rPr>
        <w:t xml:space="preserve"> "מחלת האסטמה ממנה סבל בילדותו הוחמרה בזמן השירות בשל תנאי השירות שבהן עבד המערער" .</w:t>
      </w:r>
    </w:p>
    <w:p w14:paraId="3EF7416A" w14:textId="77777777" w:rsidR="007643E3" w:rsidRDefault="00D22A92" w:rsidP="00D22A92">
      <w:pPr>
        <w:ind w:left="-193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(שורות 32-33 לפסק דינה של הוועדה הנכבדה מיום 9/5/2023).</w:t>
      </w:r>
    </w:p>
    <w:p w14:paraId="2E956530" w14:textId="77777777" w:rsidR="0067515A" w:rsidRDefault="0067515A" w:rsidP="00D22A92">
      <w:pPr>
        <w:ind w:left="-193"/>
        <w:jc w:val="both"/>
        <w:rPr>
          <w:sz w:val="26"/>
          <w:szCs w:val="26"/>
          <w:rtl/>
        </w:rPr>
      </w:pPr>
    </w:p>
    <w:p w14:paraId="3457A892" w14:textId="77777777" w:rsidR="0067515A" w:rsidRDefault="0067515A" w:rsidP="00D22A92">
      <w:pPr>
        <w:ind w:left="-193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רצ"ב פסק דינה של הוועדה הנכבדה, מסומן "</w:t>
      </w:r>
      <w:r w:rsidRPr="0067515A">
        <w:rPr>
          <w:rFonts w:hint="cs"/>
          <w:b/>
          <w:bCs/>
          <w:sz w:val="26"/>
          <w:szCs w:val="26"/>
          <w:rtl/>
        </w:rPr>
        <w:t>כנספח 1</w:t>
      </w:r>
      <w:r>
        <w:rPr>
          <w:rFonts w:hint="cs"/>
          <w:sz w:val="26"/>
          <w:szCs w:val="26"/>
          <w:rtl/>
        </w:rPr>
        <w:t>".</w:t>
      </w:r>
    </w:p>
    <w:p w14:paraId="21EAC37B" w14:textId="77777777" w:rsidR="0067515A" w:rsidRDefault="0067515A" w:rsidP="00D22A92">
      <w:pPr>
        <w:ind w:left="-193"/>
        <w:jc w:val="both"/>
        <w:rPr>
          <w:sz w:val="26"/>
          <w:szCs w:val="26"/>
          <w:rtl/>
        </w:rPr>
      </w:pPr>
    </w:p>
    <w:p w14:paraId="465A0260" w14:textId="77777777" w:rsidR="0067515A" w:rsidRPr="0067515A" w:rsidRDefault="0067515A" w:rsidP="00D22A92">
      <w:pPr>
        <w:ind w:left="-193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רצ"ב חוות דעת פרופ' פרוכטר על נספחיה, מסומנת "</w:t>
      </w:r>
      <w:r>
        <w:rPr>
          <w:rFonts w:hint="cs"/>
          <w:b/>
          <w:bCs/>
          <w:sz w:val="26"/>
          <w:szCs w:val="26"/>
          <w:rtl/>
        </w:rPr>
        <w:t>כנספח 2</w:t>
      </w:r>
      <w:r>
        <w:rPr>
          <w:rFonts w:hint="cs"/>
          <w:sz w:val="26"/>
          <w:szCs w:val="26"/>
          <w:rtl/>
        </w:rPr>
        <w:t>".</w:t>
      </w:r>
    </w:p>
    <w:p w14:paraId="0619FBAA" w14:textId="77777777" w:rsidR="00526702" w:rsidRPr="00526702" w:rsidRDefault="00526702" w:rsidP="005C6D23">
      <w:pPr>
        <w:jc w:val="both"/>
        <w:rPr>
          <w:sz w:val="26"/>
          <w:szCs w:val="26"/>
        </w:rPr>
      </w:pPr>
    </w:p>
    <w:p w14:paraId="5F0CAA57" w14:textId="48E842DC" w:rsidR="00D22A92" w:rsidRDefault="00D22A92" w:rsidP="0067515A">
      <w:pPr>
        <w:numPr>
          <w:ilvl w:val="0"/>
          <w:numId w:val="12"/>
        </w:numPr>
        <w:spacing w:line="360" w:lineRule="auto"/>
        <w:ind w:left="-52" w:hanging="283"/>
        <w:jc w:val="both"/>
        <w:rPr>
          <w:sz w:val="26"/>
          <w:szCs w:val="26"/>
        </w:rPr>
      </w:pP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המשיב הגיש ערעור על החלטה זו ולאחר </w:t>
      </w:r>
      <w:r w:rsidR="00666AA5">
        <w:rPr>
          <w:rFonts w:hint="cs"/>
          <w:sz w:val="26"/>
          <w:szCs w:val="26"/>
          <w:rtl/>
        </w:rPr>
        <w:t>שהתקבל הערעור הוחזר התיק לוועדה רפואית אשר קבעה</w:t>
      </w:r>
      <w:r>
        <w:rPr>
          <w:rFonts w:hint="cs"/>
          <w:sz w:val="26"/>
          <w:szCs w:val="26"/>
          <w:rtl/>
        </w:rPr>
        <w:t xml:space="preserve"> </w:t>
      </w:r>
      <w:r w:rsidR="00987808">
        <w:rPr>
          <w:rFonts w:hint="cs"/>
          <w:sz w:val="26"/>
          <w:szCs w:val="26"/>
          <w:rtl/>
        </w:rPr>
        <w:t xml:space="preserve">את </w:t>
      </w:r>
      <w:r>
        <w:rPr>
          <w:rFonts w:hint="cs"/>
          <w:sz w:val="26"/>
          <w:szCs w:val="26"/>
          <w:rtl/>
        </w:rPr>
        <w:t>נכותו</w:t>
      </w:r>
      <w:r w:rsidR="00987808">
        <w:rPr>
          <w:rFonts w:hint="cs"/>
          <w:sz w:val="26"/>
          <w:szCs w:val="26"/>
          <w:rtl/>
        </w:rPr>
        <w:t xml:space="preserve"> של המערער</w:t>
      </w:r>
      <w:r>
        <w:rPr>
          <w:rFonts w:hint="cs"/>
          <w:sz w:val="26"/>
          <w:szCs w:val="26"/>
          <w:rtl/>
        </w:rPr>
        <w:t xml:space="preserve"> כתוצאה משירותו בגין מחלת האסטמה  בשיעור של 20%</w:t>
      </w:r>
      <w:r w:rsidR="00717F15">
        <w:rPr>
          <w:rFonts w:hint="cs"/>
          <w:sz w:val="26"/>
          <w:szCs w:val="26"/>
          <w:rtl/>
        </w:rPr>
        <w:t xml:space="preserve"> לצמיתות</w:t>
      </w:r>
      <w:r>
        <w:rPr>
          <w:rFonts w:hint="cs"/>
          <w:sz w:val="26"/>
          <w:szCs w:val="26"/>
          <w:rtl/>
        </w:rPr>
        <w:t xml:space="preserve"> (מתוך </w:t>
      </w:r>
      <w:r w:rsidR="00987808">
        <w:rPr>
          <w:rFonts w:hint="cs"/>
          <w:sz w:val="26"/>
          <w:szCs w:val="26"/>
          <w:rtl/>
        </w:rPr>
        <w:t>30</w:t>
      </w:r>
      <w:r>
        <w:rPr>
          <w:rFonts w:hint="cs"/>
          <w:sz w:val="26"/>
          <w:szCs w:val="26"/>
          <w:rtl/>
        </w:rPr>
        <w:t>%).</w:t>
      </w:r>
    </w:p>
    <w:p w14:paraId="1DA1E175" w14:textId="77777777" w:rsidR="00D22A92" w:rsidRDefault="00D22A92" w:rsidP="00D22A92">
      <w:pPr>
        <w:spacing w:line="360" w:lineRule="auto"/>
        <w:ind w:left="-335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lastRenderedPageBreak/>
        <w:t>רצ"ב החלטת המשיב מיום 12/5/2024</w:t>
      </w:r>
      <w:r w:rsidR="0067515A">
        <w:rPr>
          <w:rFonts w:hint="cs"/>
          <w:sz w:val="26"/>
          <w:szCs w:val="26"/>
          <w:rtl/>
        </w:rPr>
        <w:t>, מסומנת "</w:t>
      </w:r>
      <w:r w:rsidR="0067515A">
        <w:rPr>
          <w:rFonts w:hint="cs"/>
          <w:b/>
          <w:bCs/>
          <w:sz w:val="26"/>
          <w:szCs w:val="26"/>
          <w:rtl/>
        </w:rPr>
        <w:t>כנספח 3</w:t>
      </w:r>
      <w:r w:rsidR="0067515A">
        <w:rPr>
          <w:rFonts w:hint="cs"/>
          <w:sz w:val="26"/>
          <w:szCs w:val="26"/>
          <w:rtl/>
        </w:rPr>
        <w:t>".</w:t>
      </w:r>
    </w:p>
    <w:p w14:paraId="6653003F" w14:textId="77777777" w:rsidR="0067515A" w:rsidRPr="0067515A" w:rsidRDefault="0067515A" w:rsidP="00D22A92">
      <w:pPr>
        <w:spacing w:line="360" w:lineRule="auto"/>
        <w:ind w:left="-335"/>
        <w:jc w:val="both"/>
        <w:rPr>
          <w:sz w:val="26"/>
          <w:szCs w:val="26"/>
          <w:rtl/>
        </w:rPr>
      </w:pPr>
    </w:p>
    <w:p w14:paraId="193D5A50" w14:textId="77777777" w:rsidR="00D22A92" w:rsidRDefault="00D22A92" w:rsidP="0067515A">
      <w:pPr>
        <w:numPr>
          <w:ilvl w:val="0"/>
          <w:numId w:val="12"/>
        </w:numPr>
        <w:spacing w:line="360" w:lineRule="auto"/>
        <w:ind w:left="-52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לאור האמור, בשים לב לפסק דינה של הוועדה הנכבדה והחלטת הוועדה הנכבדה כמפורט בסעיף ד' לעיל, מוגש ערעור זה.</w:t>
      </w:r>
    </w:p>
    <w:p w14:paraId="7CE5659B" w14:textId="77777777" w:rsidR="00987808" w:rsidRDefault="00987808" w:rsidP="00987808">
      <w:pPr>
        <w:spacing w:line="360" w:lineRule="auto"/>
        <w:ind w:left="-52"/>
        <w:jc w:val="both"/>
        <w:rPr>
          <w:sz w:val="26"/>
          <w:szCs w:val="26"/>
        </w:rPr>
      </w:pPr>
    </w:p>
    <w:p w14:paraId="61BE7857" w14:textId="43C7C6ED" w:rsidR="00C157A4" w:rsidRPr="0065299D" w:rsidRDefault="00C157A4" w:rsidP="0065299D">
      <w:pPr>
        <w:numPr>
          <w:ilvl w:val="0"/>
          <w:numId w:val="12"/>
        </w:numPr>
        <w:spacing w:line="360" w:lineRule="auto"/>
        <w:ind w:left="-52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כפי שצויין לעיל, ובהתחשב בהליכים שהתנהלו ולכתבי הטענות שהוגשו המערער לא ילאה את הוועדה הנכבדה </w:t>
      </w:r>
      <w:r w:rsidR="00C856DC">
        <w:rPr>
          <w:rFonts w:hint="cs"/>
          <w:sz w:val="26"/>
          <w:szCs w:val="26"/>
          <w:rtl/>
        </w:rPr>
        <w:t>בהעלאת</w:t>
      </w:r>
      <w:r>
        <w:rPr>
          <w:rFonts w:hint="cs"/>
          <w:sz w:val="26"/>
          <w:szCs w:val="26"/>
          <w:rtl/>
        </w:rPr>
        <w:t xml:space="preserve"> נימוקים וטיעונים </w:t>
      </w:r>
      <w:r w:rsidR="00C856DC">
        <w:rPr>
          <w:rFonts w:hint="cs"/>
          <w:sz w:val="26"/>
          <w:szCs w:val="26"/>
          <w:rtl/>
        </w:rPr>
        <w:t>שנטענו</w:t>
      </w:r>
      <w:r w:rsidRPr="0065299D">
        <w:rPr>
          <w:rFonts w:hint="cs"/>
          <w:sz w:val="26"/>
          <w:szCs w:val="26"/>
          <w:rtl/>
        </w:rPr>
        <w:t xml:space="preserve"> בהליך המקורי וכתב הערעור המתוקן אשר הוגש בהליך המקורי יצורף כנספח לכתב הערעור בהליך דנן.</w:t>
      </w:r>
    </w:p>
    <w:p w14:paraId="631B942B" w14:textId="77777777" w:rsidR="0067515A" w:rsidRDefault="0067515A" w:rsidP="0067515A">
      <w:pPr>
        <w:spacing w:line="360" w:lineRule="auto"/>
        <w:jc w:val="both"/>
        <w:rPr>
          <w:sz w:val="26"/>
          <w:szCs w:val="26"/>
          <w:rtl/>
        </w:rPr>
      </w:pPr>
    </w:p>
    <w:p w14:paraId="34102B69" w14:textId="77777777" w:rsidR="0067515A" w:rsidRDefault="0067515A" w:rsidP="0067515A">
      <w:pPr>
        <w:spacing w:line="360" w:lineRule="auto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רצ"ב כתב הערעור המתוקן בהליך המקורי, מסומן "</w:t>
      </w:r>
      <w:r>
        <w:rPr>
          <w:rFonts w:hint="cs"/>
          <w:b/>
          <w:bCs/>
          <w:sz w:val="26"/>
          <w:szCs w:val="26"/>
          <w:rtl/>
        </w:rPr>
        <w:t>כנספח 4</w:t>
      </w:r>
      <w:r>
        <w:rPr>
          <w:rFonts w:hint="cs"/>
          <w:sz w:val="26"/>
          <w:szCs w:val="26"/>
          <w:rtl/>
        </w:rPr>
        <w:t>".</w:t>
      </w:r>
    </w:p>
    <w:p w14:paraId="6B5E234C" w14:textId="77777777" w:rsidR="0067515A" w:rsidRPr="0067515A" w:rsidRDefault="0067515A" w:rsidP="0067515A">
      <w:pPr>
        <w:spacing w:line="360" w:lineRule="auto"/>
        <w:jc w:val="both"/>
        <w:rPr>
          <w:sz w:val="26"/>
          <w:szCs w:val="26"/>
        </w:rPr>
      </w:pPr>
    </w:p>
    <w:p w14:paraId="157D17BE" w14:textId="08702141" w:rsidR="00C157A4" w:rsidRDefault="00C157A4" w:rsidP="0067515A">
      <w:pPr>
        <w:numPr>
          <w:ilvl w:val="0"/>
          <w:numId w:val="12"/>
        </w:numPr>
        <w:spacing w:line="360" w:lineRule="auto"/>
        <w:ind w:left="-52" w:hanging="425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בנוסף לטענות ולנימוקים שנטענו בהליך המקורי יבקש המערער ל</w:t>
      </w:r>
      <w:r w:rsidR="00D040B5">
        <w:rPr>
          <w:rFonts w:hint="cs"/>
          <w:sz w:val="26"/>
          <w:szCs w:val="26"/>
          <w:rtl/>
        </w:rPr>
        <w:t>טעון ול</w:t>
      </w:r>
      <w:r>
        <w:rPr>
          <w:rFonts w:hint="cs"/>
          <w:sz w:val="26"/>
          <w:szCs w:val="26"/>
          <w:rtl/>
        </w:rPr>
        <w:t>ציין נימוקים נוספים שעלו במסגרת ניהול הליך ההכרה במחלת האסטמה.</w:t>
      </w:r>
    </w:p>
    <w:p w14:paraId="7B049489" w14:textId="77777777" w:rsidR="0067515A" w:rsidRDefault="0067515A" w:rsidP="0067515A">
      <w:pPr>
        <w:spacing w:line="360" w:lineRule="auto"/>
        <w:ind w:left="-52"/>
        <w:jc w:val="both"/>
        <w:rPr>
          <w:sz w:val="26"/>
          <w:szCs w:val="26"/>
        </w:rPr>
      </w:pPr>
    </w:p>
    <w:p w14:paraId="79C334AA" w14:textId="0AFDE546" w:rsidR="00C157A4" w:rsidRDefault="00C157A4" w:rsidP="00070630">
      <w:pPr>
        <w:numPr>
          <w:ilvl w:val="0"/>
          <w:numId w:val="12"/>
        </w:numPr>
        <w:spacing w:line="360" w:lineRule="auto"/>
        <w:ind w:left="-335" w:hanging="142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כאמור, בנוסף לטענותיו במסגרת ההליך המקורי </w:t>
      </w:r>
      <w:r w:rsidR="0067515A">
        <w:rPr>
          <w:rFonts w:hint="cs"/>
          <w:sz w:val="26"/>
          <w:szCs w:val="26"/>
          <w:rtl/>
        </w:rPr>
        <w:t>המערער יוסיף</w:t>
      </w:r>
      <w:r>
        <w:rPr>
          <w:rFonts w:hint="cs"/>
          <w:sz w:val="26"/>
          <w:szCs w:val="26"/>
          <w:rtl/>
        </w:rPr>
        <w:t xml:space="preserve"> </w:t>
      </w:r>
      <w:r w:rsidR="0065299D">
        <w:rPr>
          <w:rFonts w:hint="cs"/>
          <w:sz w:val="26"/>
          <w:szCs w:val="26"/>
          <w:rtl/>
        </w:rPr>
        <w:t xml:space="preserve">ויטען </w:t>
      </w:r>
      <w:r>
        <w:rPr>
          <w:rFonts w:hint="cs"/>
          <w:sz w:val="26"/>
          <w:szCs w:val="26"/>
          <w:rtl/>
        </w:rPr>
        <w:t>כדלקמן:</w:t>
      </w:r>
    </w:p>
    <w:p w14:paraId="50C86959" w14:textId="77777777" w:rsidR="00AB5900" w:rsidRDefault="00AB5900" w:rsidP="00AB5900">
      <w:pPr>
        <w:jc w:val="both"/>
        <w:rPr>
          <w:sz w:val="26"/>
          <w:szCs w:val="26"/>
          <w:rtl/>
        </w:rPr>
      </w:pPr>
    </w:p>
    <w:p w14:paraId="76F208BC" w14:textId="789F6E4C" w:rsidR="0000370F" w:rsidRPr="00AA5841" w:rsidRDefault="0000370F" w:rsidP="00AA5841">
      <w:pPr>
        <w:spacing w:line="360" w:lineRule="auto"/>
        <w:ind w:right="340"/>
        <w:jc w:val="both"/>
        <w:rPr>
          <w:sz w:val="26"/>
          <w:szCs w:val="26"/>
          <w:rtl/>
        </w:rPr>
      </w:pPr>
      <w:r w:rsidRPr="00AA5841">
        <w:rPr>
          <w:rFonts w:hint="cs"/>
          <w:sz w:val="26"/>
          <w:szCs w:val="26"/>
          <w:rtl/>
        </w:rPr>
        <w:t>"</w:t>
      </w:r>
      <w:r w:rsidRPr="00AA5841">
        <w:rPr>
          <w:rFonts w:hint="cs"/>
          <w:b/>
          <w:bCs/>
          <w:sz w:val="26"/>
          <w:szCs w:val="26"/>
          <w:rtl/>
        </w:rPr>
        <w:t xml:space="preserve">עובדה שאין עליה ויכוח היא שזיהומים בדרכי נשימה עליונות יכולים להביא להתפרצות המחלה..." </w:t>
      </w:r>
      <w:r w:rsidRPr="00AA5841">
        <w:rPr>
          <w:rFonts w:hint="cs"/>
          <w:sz w:val="26"/>
          <w:szCs w:val="26"/>
          <w:rtl/>
        </w:rPr>
        <w:t>(עמ' 2 לחוות דעת המומחה מטעמו של המשיב, ד"ר שטורך, מתאריך 8/10/2017).</w:t>
      </w:r>
    </w:p>
    <w:p w14:paraId="337E6475" w14:textId="3EFE2594" w:rsidR="00D83456" w:rsidRDefault="00EA46D8" w:rsidP="00376335">
      <w:pPr>
        <w:numPr>
          <w:ilvl w:val="0"/>
          <w:numId w:val="14"/>
        </w:numPr>
        <w:spacing w:line="360" w:lineRule="auto"/>
        <w:ind w:left="454" w:right="340" w:hanging="567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בזמן שירותו וכתוצאה ממנו לקה המערער בזיהומים בדרכי הנשימה, </w:t>
      </w:r>
      <w:r w:rsidR="00E4549B">
        <w:rPr>
          <w:rFonts w:hint="cs"/>
          <w:sz w:val="26"/>
          <w:szCs w:val="26"/>
          <w:rtl/>
        </w:rPr>
        <w:t xml:space="preserve">(עמ' 68 ש' 8-14, עמ' 69 ש' 17-22, עמ' 5 ש' 5-8 לפסק דינה של הוועדה הנכבדה מיום 09/05/2023), הקשר בין זיהומים בדרכי הנשימה לבין מחלת הכליות הינו מובהק, לשיטת המומחים כולם, לשיטת מומחה המשיב </w:t>
      </w:r>
      <w:proofErr w:type="spellStart"/>
      <w:r w:rsidR="00E4549B">
        <w:rPr>
          <w:rFonts w:hint="cs"/>
          <w:sz w:val="26"/>
          <w:szCs w:val="26"/>
          <w:rtl/>
        </w:rPr>
        <w:t>דהיום</w:t>
      </w:r>
      <w:proofErr w:type="spellEnd"/>
      <w:r w:rsidR="00E4549B">
        <w:rPr>
          <w:rFonts w:hint="cs"/>
          <w:sz w:val="26"/>
          <w:szCs w:val="26"/>
          <w:rtl/>
        </w:rPr>
        <w:t xml:space="preserve">, ד"ר שטורך, </w:t>
      </w:r>
      <w:r w:rsidR="00CC46D0">
        <w:rPr>
          <w:rFonts w:hint="cs"/>
          <w:sz w:val="26"/>
          <w:szCs w:val="26"/>
          <w:rtl/>
        </w:rPr>
        <w:t xml:space="preserve">וגם לשיטת מומחה המשיב בתחום הכליות בעבר, </w:t>
      </w:r>
      <w:r w:rsidR="00E4549B">
        <w:rPr>
          <w:rFonts w:hint="cs"/>
          <w:sz w:val="26"/>
          <w:szCs w:val="26"/>
          <w:rtl/>
        </w:rPr>
        <w:t>פרופ' היינה ז"ל</w:t>
      </w:r>
      <w:r w:rsidR="00CC46D0">
        <w:rPr>
          <w:rFonts w:hint="cs"/>
          <w:sz w:val="26"/>
          <w:szCs w:val="26"/>
          <w:rtl/>
        </w:rPr>
        <w:t>.</w:t>
      </w:r>
      <w:r w:rsidR="00CA2470">
        <w:rPr>
          <w:rFonts w:hint="cs"/>
          <w:sz w:val="26"/>
          <w:szCs w:val="26"/>
          <w:rtl/>
        </w:rPr>
        <w:t xml:space="preserve"> בשים לב לאופיו של חוק הנכים ולהלכה השלטת </w:t>
      </w:r>
      <w:r w:rsidR="00E06D86">
        <w:rPr>
          <w:rFonts w:hint="cs"/>
          <w:sz w:val="26"/>
          <w:szCs w:val="26"/>
          <w:rtl/>
        </w:rPr>
        <w:t xml:space="preserve">עסקינן במקרה </w:t>
      </w:r>
      <w:r w:rsidR="00064C1B">
        <w:rPr>
          <w:rFonts w:hint="cs"/>
          <w:sz w:val="26"/>
          <w:szCs w:val="26"/>
          <w:rtl/>
        </w:rPr>
        <w:t>בו אירעה מחלה בזמן השירות וכתוצאה ממנו</w:t>
      </w:r>
      <w:r w:rsidR="00EC1254">
        <w:rPr>
          <w:rFonts w:hint="cs"/>
          <w:sz w:val="26"/>
          <w:szCs w:val="26"/>
          <w:rtl/>
        </w:rPr>
        <w:t xml:space="preserve"> ו</w:t>
      </w:r>
      <w:r w:rsidR="00EA0BA4">
        <w:rPr>
          <w:rFonts w:hint="cs"/>
          <w:sz w:val="26"/>
          <w:szCs w:val="26"/>
          <w:rtl/>
        </w:rPr>
        <w:t xml:space="preserve">די בכך כדי להביא לתוצאה של קבלת </w:t>
      </w:r>
      <w:r w:rsidR="00E4549B">
        <w:rPr>
          <w:rFonts w:hint="cs"/>
          <w:sz w:val="26"/>
          <w:szCs w:val="26"/>
          <w:rtl/>
        </w:rPr>
        <w:t>הערעור כמבוקש.</w:t>
      </w:r>
    </w:p>
    <w:p w14:paraId="22682AE6" w14:textId="550E5D85" w:rsidR="00E4549B" w:rsidRPr="006D09B9" w:rsidRDefault="006D09B9" w:rsidP="006D09B9">
      <w:pPr>
        <w:numPr>
          <w:ilvl w:val="0"/>
          <w:numId w:val="14"/>
        </w:numPr>
        <w:spacing w:line="360" w:lineRule="auto"/>
        <w:ind w:left="454" w:right="340" w:hanging="567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המערער יוסיף ויטען כי </w:t>
      </w:r>
      <w:r w:rsidR="00E4549B" w:rsidRPr="006D09B9">
        <w:rPr>
          <w:rFonts w:hint="cs"/>
          <w:sz w:val="26"/>
          <w:szCs w:val="26"/>
          <w:rtl/>
        </w:rPr>
        <w:t xml:space="preserve">תנאי </w:t>
      </w:r>
      <w:r>
        <w:rPr>
          <w:rFonts w:hint="cs"/>
          <w:sz w:val="26"/>
          <w:szCs w:val="26"/>
          <w:rtl/>
        </w:rPr>
        <w:t>ה</w:t>
      </w:r>
      <w:r w:rsidR="00E4549B" w:rsidRPr="006D09B9">
        <w:rPr>
          <w:rFonts w:hint="cs"/>
          <w:sz w:val="26"/>
          <w:szCs w:val="26"/>
          <w:rtl/>
        </w:rPr>
        <w:t xml:space="preserve">שירות </w:t>
      </w:r>
      <w:r>
        <w:rPr>
          <w:rFonts w:hint="cs"/>
          <w:sz w:val="26"/>
          <w:szCs w:val="26"/>
          <w:rtl/>
        </w:rPr>
        <w:t>בהם שירת</w:t>
      </w:r>
      <w:r w:rsidR="004A34DB">
        <w:rPr>
          <w:rFonts w:hint="cs"/>
          <w:sz w:val="26"/>
          <w:szCs w:val="26"/>
          <w:rtl/>
        </w:rPr>
        <w:t xml:space="preserve">, תנאים </w:t>
      </w:r>
      <w:r w:rsidR="00E4549B" w:rsidRPr="006D09B9">
        <w:rPr>
          <w:rFonts w:hint="cs"/>
          <w:sz w:val="26"/>
          <w:szCs w:val="26"/>
          <w:rtl/>
        </w:rPr>
        <w:t>הכוללים שהות ממושכת בסביבה לא מאוררת, סביבה מקוררת, שרות בתנאי דחק ו</w:t>
      </w:r>
      <w:r w:rsidR="00587F00" w:rsidRPr="006D09B9">
        <w:rPr>
          <w:rFonts w:hint="cs"/>
          <w:sz w:val="26"/>
          <w:szCs w:val="26"/>
          <w:rtl/>
        </w:rPr>
        <w:t>עבודות רס"ר במשרפה</w:t>
      </w:r>
      <w:r w:rsidR="00CC46D0">
        <w:rPr>
          <w:rFonts w:hint="cs"/>
          <w:sz w:val="26"/>
          <w:szCs w:val="26"/>
          <w:rtl/>
        </w:rPr>
        <w:t xml:space="preserve">, </w:t>
      </w:r>
      <w:r w:rsidR="00587F00" w:rsidRPr="006D09B9">
        <w:rPr>
          <w:rFonts w:hint="cs"/>
          <w:sz w:val="26"/>
          <w:szCs w:val="26"/>
          <w:rtl/>
        </w:rPr>
        <w:t>חשיפה לאסבסט ו</w:t>
      </w:r>
      <w:r w:rsidR="00CC46D0">
        <w:rPr>
          <w:rFonts w:hint="cs"/>
          <w:sz w:val="26"/>
          <w:szCs w:val="26"/>
          <w:rtl/>
        </w:rPr>
        <w:t xml:space="preserve">חשיפה </w:t>
      </w:r>
      <w:r w:rsidR="00207287">
        <w:rPr>
          <w:rFonts w:hint="cs"/>
          <w:sz w:val="26"/>
          <w:szCs w:val="26"/>
          <w:rtl/>
        </w:rPr>
        <w:t>ל</w:t>
      </w:r>
      <w:r w:rsidR="00587F00" w:rsidRPr="006D09B9">
        <w:rPr>
          <w:rFonts w:hint="cs"/>
          <w:sz w:val="26"/>
          <w:szCs w:val="26"/>
          <w:rtl/>
        </w:rPr>
        <w:t xml:space="preserve">נגיפים/זיהומים </w:t>
      </w:r>
      <w:r w:rsidR="004A34DB">
        <w:rPr>
          <w:rFonts w:hint="cs"/>
          <w:sz w:val="26"/>
          <w:szCs w:val="26"/>
          <w:rtl/>
        </w:rPr>
        <w:t xml:space="preserve">לא </w:t>
      </w:r>
      <w:r w:rsidR="00245453">
        <w:rPr>
          <w:rFonts w:hint="cs"/>
          <w:sz w:val="26"/>
          <w:szCs w:val="26"/>
          <w:rtl/>
        </w:rPr>
        <w:t xml:space="preserve">נבחנו ע״י המשיב </w:t>
      </w:r>
      <w:r w:rsidR="00875223">
        <w:rPr>
          <w:rFonts w:hint="cs"/>
          <w:sz w:val="26"/>
          <w:szCs w:val="26"/>
          <w:rtl/>
        </w:rPr>
        <w:t xml:space="preserve">עת התקבלה ההחלטה מושא הערעור ואילו היו מובאים בחשבון </w:t>
      </w:r>
      <w:r w:rsidR="00636866">
        <w:rPr>
          <w:rFonts w:hint="cs"/>
          <w:sz w:val="26"/>
          <w:szCs w:val="26"/>
          <w:rtl/>
        </w:rPr>
        <w:t>הייתה מתקבלת החלטה להכיר במחלה הכלייתית כאמור.</w:t>
      </w:r>
    </w:p>
    <w:p w14:paraId="11426FBB" w14:textId="620DA47E" w:rsidR="00F46D29" w:rsidRDefault="00636866" w:rsidP="00376335">
      <w:pPr>
        <w:numPr>
          <w:ilvl w:val="0"/>
          <w:numId w:val="14"/>
        </w:numPr>
        <w:spacing w:line="360" w:lineRule="auto"/>
        <w:ind w:left="454" w:right="340" w:hanging="567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המערער </w:t>
      </w:r>
      <w:r w:rsidR="009F17A3">
        <w:rPr>
          <w:rFonts w:hint="cs"/>
          <w:sz w:val="26"/>
          <w:szCs w:val="26"/>
          <w:rtl/>
        </w:rPr>
        <w:t xml:space="preserve">ידגיש כי </w:t>
      </w:r>
      <w:r w:rsidR="00F46D29">
        <w:rPr>
          <w:rFonts w:hint="cs"/>
          <w:sz w:val="26"/>
          <w:szCs w:val="26"/>
          <w:rtl/>
        </w:rPr>
        <w:t>הקשר בין מחלת האסטמה לבין מחלת הכליות ידוע וכאמור</w:t>
      </w:r>
      <w:r w:rsidR="009F17A3">
        <w:rPr>
          <w:rFonts w:hint="cs"/>
          <w:sz w:val="26"/>
          <w:szCs w:val="26"/>
          <w:rtl/>
        </w:rPr>
        <w:t>, כפי שגם נטען במסגרת ההליך ומקבל חיזוק בשלב זה של ההליך,</w:t>
      </w:r>
      <w:r w:rsidR="00F46D29">
        <w:rPr>
          <w:rFonts w:hint="cs"/>
          <w:sz w:val="26"/>
          <w:szCs w:val="26"/>
          <w:rtl/>
        </w:rPr>
        <w:t xml:space="preserve"> </w:t>
      </w:r>
      <w:r w:rsidR="00F46D29" w:rsidRPr="00207287">
        <w:rPr>
          <w:rFonts w:hint="cs"/>
          <w:sz w:val="26"/>
          <w:szCs w:val="26"/>
          <w:u w:val="single"/>
          <w:rtl/>
        </w:rPr>
        <w:t xml:space="preserve">המשיב עצמו מכיר </w:t>
      </w:r>
      <w:r w:rsidR="000520C9" w:rsidRPr="00207287">
        <w:rPr>
          <w:rFonts w:hint="cs"/>
          <w:sz w:val="26"/>
          <w:szCs w:val="26"/>
          <w:u w:val="single"/>
          <w:rtl/>
        </w:rPr>
        <w:t>בקשר בין</w:t>
      </w:r>
      <w:r w:rsidR="00F46D29" w:rsidRPr="00207287">
        <w:rPr>
          <w:rFonts w:hint="cs"/>
          <w:sz w:val="26"/>
          <w:szCs w:val="26"/>
          <w:u w:val="single"/>
          <w:rtl/>
        </w:rPr>
        <w:t xml:space="preserve"> התפרצות/החמרה במחלת האסטמה לבין מחלת הכליות ו</w:t>
      </w:r>
      <w:r w:rsidR="0097759E" w:rsidRPr="00207287">
        <w:rPr>
          <w:rFonts w:hint="cs"/>
          <w:sz w:val="26"/>
          <w:szCs w:val="26"/>
          <w:u w:val="single"/>
          <w:rtl/>
        </w:rPr>
        <w:t>משנקבע קשר סיבתי כאמור דין הערעור להתקבל.</w:t>
      </w:r>
    </w:p>
    <w:p w14:paraId="3CC518EC" w14:textId="77777777" w:rsidR="00376335" w:rsidRDefault="00376335" w:rsidP="00376335">
      <w:pPr>
        <w:spacing w:line="360" w:lineRule="auto"/>
        <w:ind w:left="454" w:right="340"/>
        <w:jc w:val="both"/>
        <w:rPr>
          <w:sz w:val="26"/>
          <w:szCs w:val="26"/>
        </w:rPr>
      </w:pPr>
    </w:p>
    <w:p w14:paraId="7059F437" w14:textId="299BABFE" w:rsidR="00376335" w:rsidRDefault="000520C9" w:rsidP="00376335">
      <w:pPr>
        <w:numPr>
          <w:ilvl w:val="0"/>
          <w:numId w:val="14"/>
        </w:numPr>
        <w:spacing w:line="360" w:lineRule="auto"/>
        <w:ind w:left="454" w:right="340" w:hanging="567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כפי שצויין</w:t>
      </w:r>
      <w:r w:rsidR="00376335">
        <w:rPr>
          <w:rFonts w:hint="cs"/>
          <w:sz w:val="26"/>
          <w:szCs w:val="26"/>
          <w:rtl/>
        </w:rPr>
        <w:t xml:space="preserve"> לעיל, במסגרת ההליך להכרה במחלת האסטמה צורפה חוות דעת </w:t>
      </w:r>
      <w:r w:rsidR="00761776">
        <w:rPr>
          <w:rFonts w:hint="cs"/>
          <w:sz w:val="26"/>
          <w:szCs w:val="26"/>
          <w:rtl/>
        </w:rPr>
        <w:t>פרופ' פרוכטר, מומחה למחלות ריאה ולרפואה פנימית, אשר נתן חוות דעתו מטעמו של המערער</w:t>
      </w:r>
      <w:r w:rsidR="00376335">
        <w:rPr>
          <w:rFonts w:hint="cs"/>
          <w:sz w:val="26"/>
          <w:szCs w:val="26"/>
          <w:rtl/>
        </w:rPr>
        <w:t>, העיד ונחקר</w:t>
      </w:r>
      <w:r w:rsidR="00761776">
        <w:rPr>
          <w:rFonts w:hint="cs"/>
          <w:sz w:val="26"/>
          <w:szCs w:val="26"/>
          <w:rtl/>
        </w:rPr>
        <w:t xml:space="preserve">, </w:t>
      </w:r>
      <w:r w:rsidR="00376335">
        <w:rPr>
          <w:rFonts w:hint="cs"/>
          <w:sz w:val="26"/>
          <w:szCs w:val="26"/>
          <w:rtl/>
        </w:rPr>
        <w:t xml:space="preserve">ובפסק דינה של הוועדה הנכבדה אומצה חוות </w:t>
      </w:r>
      <w:r w:rsidR="00E001A0">
        <w:rPr>
          <w:rFonts w:hint="cs"/>
          <w:sz w:val="26"/>
          <w:szCs w:val="26"/>
          <w:rtl/>
        </w:rPr>
        <w:t>דעתו</w:t>
      </w:r>
      <w:r w:rsidR="00376335">
        <w:rPr>
          <w:rFonts w:hint="cs"/>
          <w:sz w:val="26"/>
          <w:szCs w:val="26"/>
          <w:rtl/>
        </w:rPr>
        <w:t xml:space="preserve"> במלואה.</w:t>
      </w:r>
    </w:p>
    <w:p w14:paraId="45FAE40E" w14:textId="77777777" w:rsidR="00376335" w:rsidRDefault="00376335" w:rsidP="00376335">
      <w:pPr>
        <w:pStyle w:val="a6"/>
        <w:rPr>
          <w:sz w:val="26"/>
          <w:szCs w:val="26"/>
          <w:rtl/>
        </w:rPr>
      </w:pPr>
    </w:p>
    <w:p w14:paraId="450BD383" w14:textId="77777777" w:rsidR="00761776" w:rsidRDefault="00376335" w:rsidP="00376335">
      <w:pPr>
        <w:numPr>
          <w:ilvl w:val="0"/>
          <w:numId w:val="14"/>
        </w:numPr>
        <w:spacing w:line="360" w:lineRule="auto"/>
        <w:ind w:left="454" w:right="340" w:hanging="567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בחוות דעתו מתייחס פרופ' פרוכטר לקשר בין מחלת האסטמה לבין מחלת הכליות תוך אזכור וצירוף תימוכין וקובע </w:t>
      </w:r>
      <w:r w:rsidR="00761776">
        <w:rPr>
          <w:rFonts w:hint="cs"/>
          <w:sz w:val="26"/>
          <w:szCs w:val="26"/>
          <w:rtl/>
        </w:rPr>
        <w:t>כדלקמן:</w:t>
      </w:r>
    </w:p>
    <w:p w14:paraId="71BE2E0A" w14:textId="77777777" w:rsidR="00376335" w:rsidRDefault="00376335" w:rsidP="00376335">
      <w:pPr>
        <w:spacing w:line="360" w:lineRule="auto"/>
        <w:ind w:left="454" w:right="340"/>
        <w:jc w:val="both"/>
        <w:rPr>
          <w:sz w:val="26"/>
          <w:szCs w:val="26"/>
        </w:rPr>
      </w:pPr>
    </w:p>
    <w:p w14:paraId="27F93397" w14:textId="77777777" w:rsidR="00761776" w:rsidRPr="003577C9" w:rsidRDefault="00761776" w:rsidP="003577C9">
      <w:pPr>
        <w:spacing w:line="360" w:lineRule="auto"/>
        <w:ind w:left="454" w:right="426"/>
        <w:jc w:val="both"/>
        <w:rPr>
          <w:i/>
          <w:iCs/>
          <w:sz w:val="26"/>
          <w:szCs w:val="26"/>
          <w:rtl/>
        </w:rPr>
      </w:pPr>
      <w:r w:rsidRPr="003577C9">
        <w:rPr>
          <w:rFonts w:hint="cs"/>
          <w:i/>
          <w:iCs/>
          <w:sz w:val="26"/>
          <w:szCs w:val="26"/>
          <w:rtl/>
        </w:rPr>
        <w:t xml:space="preserve">"יש לציין כי אסטמה בייחוד עם החמרות חוזרות נמצאה כגורם סיכון משמעותי להתפתחות מחלות כליה כרוניות (ראה מבואות 3 </w:t>
      </w:r>
      <w:r w:rsidRPr="003577C9">
        <w:rPr>
          <w:i/>
          <w:iCs/>
          <w:sz w:val="26"/>
          <w:szCs w:val="26"/>
          <w:rtl/>
        </w:rPr>
        <w:t>–</w:t>
      </w:r>
      <w:r w:rsidRPr="003577C9">
        <w:rPr>
          <w:rFonts w:hint="cs"/>
          <w:i/>
          <w:iCs/>
          <w:sz w:val="26"/>
          <w:szCs w:val="26"/>
          <w:rtl/>
        </w:rPr>
        <w:t xml:space="preserve"> 4)</w:t>
      </w:r>
      <w:r w:rsidR="006B2DA3" w:rsidRPr="003577C9">
        <w:rPr>
          <w:rFonts w:hint="cs"/>
          <w:i/>
          <w:iCs/>
          <w:sz w:val="26"/>
          <w:szCs w:val="26"/>
          <w:rtl/>
        </w:rPr>
        <w:t xml:space="preserve">, (4-5 </w:t>
      </w:r>
      <w:r w:rsidR="006B2DA3" w:rsidRPr="003577C9">
        <w:rPr>
          <w:i/>
          <w:iCs/>
          <w:sz w:val="26"/>
          <w:szCs w:val="26"/>
          <w:rtl/>
        </w:rPr>
        <w:t>–</w:t>
      </w:r>
      <w:r w:rsidR="006B2DA3" w:rsidRPr="003577C9">
        <w:rPr>
          <w:rFonts w:hint="cs"/>
          <w:i/>
          <w:iCs/>
          <w:sz w:val="26"/>
          <w:szCs w:val="26"/>
          <w:rtl/>
        </w:rPr>
        <w:t xml:space="preserve"> הח"מ)</w:t>
      </w:r>
      <w:r w:rsidRPr="003577C9">
        <w:rPr>
          <w:rFonts w:hint="cs"/>
          <w:i/>
          <w:iCs/>
          <w:sz w:val="26"/>
          <w:szCs w:val="26"/>
          <w:rtl/>
        </w:rPr>
        <w:t xml:space="preserve">. בעבודה שבחנה מעל 140,000 חולים באסטמה (מבואה 3) </w:t>
      </w:r>
      <w:r w:rsidR="006B2DA3" w:rsidRPr="003577C9">
        <w:rPr>
          <w:rFonts w:hint="cs"/>
          <w:i/>
          <w:iCs/>
          <w:sz w:val="26"/>
          <w:szCs w:val="26"/>
          <w:rtl/>
        </w:rPr>
        <w:t xml:space="preserve">(4-הח"מ) </w:t>
      </w:r>
      <w:r w:rsidRPr="003577C9">
        <w:rPr>
          <w:rFonts w:hint="cs"/>
          <w:i/>
          <w:iCs/>
          <w:sz w:val="26"/>
          <w:szCs w:val="26"/>
          <w:rtl/>
        </w:rPr>
        <w:t xml:space="preserve">נמצא כי שכיחות מחלות כליה כרוניות הייתה פי 1.5 </w:t>
      </w:r>
      <w:r w:rsidRPr="003577C9">
        <w:rPr>
          <w:i/>
          <w:iCs/>
          <w:sz w:val="26"/>
          <w:szCs w:val="26"/>
        </w:rPr>
        <w:t>(hazard ratio)</w:t>
      </w:r>
      <w:r w:rsidRPr="003577C9">
        <w:rPr>
          <w:rFonts w:hint="cs"/>
          <w:i/>
          <w:iCs/>
          <w:sz w:val="26"/>
          <w:szCs w:val="26"/>
          <w:rtl/>
        </w:rPr>
        <w:t xml:space="preserve"> מאשר באוכלוסיית הביקורת גם לאחר תיקון ושקלול גורמים מסיחים כדוגמת יתר לחץ דם, יתר שומנים בדם ועוד. </w:t>
      </w:r>
      <w:r w:rsidRPr="003577C9">
        <w:rPr>
          <w:i/>
          <w:iCs/>
          <w:sz w:val="26"/>
          <w:szCs w:val="26"/>
          <w:rtl/>
        </w:rPr>
        <w:br/>
      </w:r>
      <w:r w:rsidRPr="003577C9">
        <w:rPr>
          <w:rFonts w:hint="cs"/>
          <w:i/>
          <w:iCs/>
          <w:sz w:val="26"/>
          <w:szCs w:val="26"/>
          <w:rtl/>
        </w:rPr>
        <w:t>המנגנון המשוער הוא הגברה בתהליך הדלקתי הסיסטמי בייחוד המתווך על ידי חלבון 3</w:t>
      </w:r>
      <w:r w:rsidRPr="003577C9">
        <w:rPr>
          <w:i/>
          <w:iCs/>
          <w:sz w:val="26"/>
          <w:szCs w:val="26"/>
        </w:rPr>
        <w:t>N</w:t>
      </w:r>
      <w:r w:rsidR="006B2DA3" w:rsidRPr="003577C9">
        <w:rPr>
          <w:i/>
          <w:iCs/>
          <w:sz w:val="26"/>
          <w:szCs w:val="26"/>
        </w:rPr>
        <w:t>LRP</w:t>
      </w:r>
      <w:r w:rsidR="006B2DA3" w:rsidRPr="003577C9">
        <w:rPr>
          <w:rFonts w:hint="cs"/>
          <w:i/>
          <w:iCs/>
          <w:sz w:val="26"/>
          <w:szCs w:val="26"/>
          <w:rtl/>
        </w:rPr>
        <w:t xml:space="preserve"> בחולים עם אסטמה בייחוד אלה שעוברים החמרות שונות. לאור כך העובדה שהחולה פיתח </w:t>
      </w:r>
      <w:r w:rsidR="006B2DA3" w:rsidRPr="003577C9">
        <w:rPr>
          <w:i/>
          <w:iCs/>
          <w:sz w:val="26"/>
          <w:szCs w:val="26"/>
        </w:rPr>
        <w:t>IGA nephropathy</w:t>
      </w:r>
      <w:r w:rsidR="006B2DA3" w:rsidRPr="003577C9">
        <w:rPr>
          <w:rFonts w:hint="cs"/>
          <w:i/>
          <w:iCs/>
          <w:sz w:val="26"/>
          <w:szCs w:val="26"/>
          <w:rtl/>
        </w:rPr>
        <w:t xml:space="preserve"> עשויה להיות קשורה לפחות בחלקה לאסטמה ולהחמרה בה. עבודה דומה פרוספקטיבית על </w:t>
      </w:r>
      <w:proofErr w:type="spellStart"/>
      <w:r w:rsidR="006B2DA3" w:rsidRPr="003577C9">
        <w:rPr>
          <w:rFonts w:hint="cs"/>
          <w:i/>
          <w:iCs/>
          <w:sz w:val="26"/>
          <w:szCs w:val="26"/>
          <w:rtl/>
        </w:rPr>
        <w:t>אוכלוסיה</w:t>
      </w:r>
      <w:proofErr w:type="spellEnd"/>
      <w:r w:rsidR="006B2DA3" w:rsidRPr="003577C9">
        <w:rPr>
          <w:rFonts w:hint="cs"/>
          <w:i/>
          <w:iCs/>
          <w:sz w:val="26"/>
          <w:szCs w:val="26"/>
          <w:rtl/>
        </w:rPr>
        <w:t xml:space="preserve"> של 3,000 חולים (מבואה 4) (5-הח"מ)מצאה יחס סיכון (</w:t>
      </w:r>
      <w:r w:rsidR="006B2DA3" w:rsidRPr="003577C9">
        <w:rPr>
          <w:i/>
          <w:iCs/>
          <w:sz w:val="26"/>
          <w:szCs w:val="26"/>
        </w:rPr>
        <w:t>odds ratio</w:t>
      </w:r>
      <w:r w:rsidR="006B2DA3" w:rsidRPr="003577C9">
        <w:rPr>
          <w:rFonts w:hint="cs"/>
          <w:i/>
          <w:iCs/>
          <w:sz w:val="26"/>
          <w:szCs w:val="26"/>
          <w:rtl/>
        </w:rPr>
        <w:t>) דומה של 1.49"</w:t>
      </w:r>
    </w:p>
    <w:p w14:paraId="1E3CE85F" w14:textId="77777777" w:rsidR="006B2DA3" w:rsidRDefault="006B2DA3" w:rsidP="00761776">
      <w:pPr>
        <w:spacing w:line="360" w:lineRule="auto"/>
        <w:ind w:left="720"/>
        <w:jc w:val="both"/>
        <w:rPr>
          <w:sz w:val="26"/>
          <w:szCs w:val="26"/>
          <w:rtl/>
        </w:rPr>
      </w:pPr>
    </w:p>
    <w:p w14:paraId="1267FD58" w14:textId="77777777" w:rsidR="00801A23" w:rsidRDefault="00F81D8A" w:rsidP="00E64FCF">
      <w:pPr>
        <w:numPr>
          <w:ilvl w:val="0"/>
          <w:numId w:val="14"/>
        </w:numPr>
        <w:spacing w:line="360" w:lineRule="auto"/>
        <w:ind w:left="374" w:right="426" w:hanging="426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מכל המפורט לעיל עולה </w:t>
      </w:r>
      <w:r w:rsidR="00376335" w:rsidRPr="00E64FCF">
        <w:rPr>
          <w:rFonts w:hint="cs"/>
          <w:sz w:val="26"/>
          <w:szCs w:val="26"/>
          <w:rtl/>
        </w:rPr>
        <w:t>כי</w:t>
      </w:r>
      <w:r w:rsidR="006E68F8">
        <w:rPr>
          <w:rFonts w:hint="cs"/>
          <w:sz w:val="26"/>
          <w:szCs w:val="26"/>
          <w:rtl/>
        </w:rPr>
        <w:t xml:space="preserve"> המחלה הכלייתית</w:t>
      </w:r>
      <w:r w:rsidR="00376335" w:rsidRPr="00E64FCF">
        <w:rPr>
          <w:rFonts w:hint="cs"/>
          <w:sz w:val="26"/>
          <w:szCs w:val="26"/>
          <w:rtl/>
        </w:rPr>
        <w:t xml:space="preserve"> בה לקה נגרמה, או לכל הפחות הוחמרה</w:t>
      </w:r>
      <w:r w:rsidR="00622921">
        <w:rPr>
          <w:sz w:val="26"/>
          <w:szCs w:val="26"/>
          <w:lang w:val="en-GB"/>
        </w:rPr>
        <w:t>/</w:t>
      </w:r>
      <w:r w:rsidR="00622921">
        <w:rPr>
          <w:rFonts w:hint="cs"/>
          <w:sz w:val="26"/>
          <w:szCs w:val="26"/>
          <w:rtl/>
          <w:lang w:val="en-GB"/>
        </w:rPr>
        <w:t>התלקחה</w:t>
      </w:r>
      <w:r w:rsidR="00622921">
        <w:rPr>
          <w:sz w:val="26"/>
          <w:szCs w:val="26"/>
          <w:lang w:val="en-GB"/>
        </w:rPr>
        <w:t>/</w:t>
      </w:r>
      <w:r w:rsidR="00622921">
        <w:rPr>
          <w:rFonts w:hint="cs"/>
          <w:sz w:val="26"/>
          <w:szCs w:val="26"/>
          <w:rtl/>
          <w:lang w:val="en-GB"/>
        </w:rPr>
        <w:t>הוחרפה</w:t>
      </w:r>
      <w:r w:rsidR="00801A23">
        <w:rPr>
          <w:rFonts w:hint="cs"/>
          <w:sz w:val="26"/>
          <w:szCs w:val="26"/>
          <w:rtl/>
          <w:lang w:val="en-GB"/>
        </w:rPr>
        <w:t xml:space="preserve"> כתוצאה משירותו כאמור.</w:t>
      </w:r>
    </w:p>
    <w:p w14:paraId="0829F09C" w14:textId="77777777" w:rsidR="002D4670" w:rsidRPr="00801A23" w:rsidRDefault="002D4670" w:rsidP="00E001A0">
      <w:pPr>
        <w:spacing w:line="360" w:lineRule="auto"/>
        <w:ind w:left="374" w:right="426"/>
        <w:jc w:val="both"/>
        <w:rPr>
          <w:sz w:val="26"/>
          <w:szCs w:val="26"/>
        </w:rPr>
      </w:pPr>
    </w:p>
    <w:p w14:paraId="21AB470D" w14:textId="542209C9" w:rsidR="00E64FCF" w:rsidRDefault="008C3074" w:rsidP="00E64FCF">
      <w:pPr>
        <w:numPr>
          <w:ilvl w:val="0"/>
          <w:numId w:val="14"/>
        </w:numPr>
        <w:spacing w:line="360" w:lineRule="auto"/>
        <w:ind w:left="374" w:right="426" w:hanging="426"/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 המקרה ובשים לב לקביעות המומחים</w:t>
      </w:r>
      <w:r w:rsidR="003F28F6">
        <w:rPr>
          <w:rFonts w:hint="cs"/>
          <w:sz w:val="26"/>
          <w:szCs w:val="26"/>
          <w:rtl/>
        </w:rPr>
        <w:t xml:space="preserve">, לממצאים הקליניים ולנתונים העולים </w:t>
      </w:r>
      <w:r w:rsidR="00E30104">
        <w:rPr>
          <w:rFonts w:hint="cs"/>
          <w:sz w:val="26"/>
          <w:szCs w:val="26"/>
          <w:rtl/>
        </w:rPr>
        <w:t>מפרטי המקרה</w:t>
      </w:r>
      <w:r w:rsidR="00E001A0">
        <w:rPr>
          <w:rFonts w:hint="cs"/>
          <w:sz w:val="26"/>
          <w:szCs w:val="26"/>
          <w:rtl/>
        </w:rPr>
        <w:t xml:space="preserve"> </w:t>
      </w:r>
      <w:r w:rsidR="00D006BE">
        <w:rPr>
          <w:rFonts w:hint="cs"/>
          <w:sz w:val="26"/>
          <w:szCs w:val="26"/>
          <w:rtl/>
        </w:rPr>
        <w:t>מתקבל מאוד על הדעת כי</w:t>
      </w:r>
      <w:r w:rsidR="00517527">
        <w:rPr>
          <w:rFonts w:hint="cs"/>
          <w:sz w:val="26"/>
          <w:szCs w:val="26"/>
          <w:rtl/>
        </w:rPr>
        <w:t xml:space="preserve"> מתקיים קשר סיבתי </w:t>
      </w:r>
      <w:r w:rsidR="009478DC">
        <w:rPr>
          <w:rFonts w:hint="cs"/>
          <w:sz w:val="26"/>
          <w:szCs w:val="26"/>
          <w:rtl/>
        </w:rPr>
        <w:t>בין המחלה הכלייתית לבין שירות</w:t>
      </w:r>
      <w:r w:rsidR="00E82336">
        <w:rPr>
          <w:rFonts w:hint="cs"/>
          <w:sz w:val="26"/>
          <w:szCs w:val="26"/>
          <w:rtl/>
        </w:rPr>
        <w:t xml:space="preserve">ו </w:t>
      </w:r>
      <w:r w:rsidR="00E82336">
        <w:rPr>
          <w:sz w:val="26"/>
          <w:szCs w:val="26"/>
          <w:rtl/>
        </w:rPr>
        <w:t>–</w:t>
      </w:r>
      <w:r w:rsidR="00E82336">
        <w:rPr>
          <w:rFonts w:hint="cs"/>
          <w:sz w:val="26"/>
          <w:szCs w:val="26"/>
          <w:rtl/>
        </w:rPr>
        <w:t xml:space="preserve"> </w:t>
      </w:r>
      <w:r w:rsidR="004F3BC2">
        <w:rPr>
          <w:rFonts w:hint="cs"/>
          <w:sz w:val="26"/>
          <w:szCs w:val="26"/>
          <w:rtl/>
        </w:rPr>
        <w:t xml:space="preserve">וכי תנאי שירותו </w:t>
      </w:r>
      <w:r w:rsidR="004F3BC2">
        <w:rPr>
          <w:rFonts w:hint="cs"/>
          <w:sz w:val="26"/>
          <w:szCs w:val="26"/>
          <w:rtl/>
          <w:lang w:val="en-GB"/>
        </w:rPr>
        <w:t>ו</w:t>
      </w:r>
      <w:r w:rsidR="004F3BC2">
        <w:rPr>
          <w:sz w:val="26"/>
          <w:szCs w:val="26"/>
          <w:lang w:val="en-GB"/>
        </w:rPr>
        <w:t>/</w:t>
      </w:r>
      <w:r w:rsidR="004F3BC2">
        <w:rPr>
          <w:rFonts w:hint="cs"/>
          <w:sz w:val="26"/>
          <w:szCs w:val="26"/>
          <w:rtl/>
          <w:lang w:val="en-GB"/>
        </w:rPr>
        <w:t>או החמרת מחלה האסטמה</w:t>
      </w:r>
      <w:r w:rsidR="001D505B">
        <w:rPr>
          <w:rFonts w:hint="cs"/>
          <w:sz w:val="26"/>
          <w:szCs w:val="26"/>
          <w:rtl/>
          <w:lang w:val="en-GB"/>
        </w:rPr>
        <w:t>,</w:t>
      </w:r>
      <w:r w:rsidR="00D006BE">
        <w:rPr>
          <w:rFonts w:hint="cs"/>
          <w:sz w:val="26"/>
          <w:szCs w:val="26"/>
          <w:rtl/>
          <w:lang w:val="en-GB"/>
        </w:rPr>
        <w:t xml:space="preserve"> </w:t>
      </w:r>
      <w:r w:rsidR="008E1E3B">
        <w:rPr>
          <w:rFonts w:hint="cs"/>
          <w:sz w:val="26"/>
          <w:szCs w:val="26"/>
          <w:rtl/>
          <w:lang w:val="en-GB"/>
        </w:rPr>
        <w:t>בפני עצמם ו</w:t>
      </w:r>
      <w:r w:rsidR="008E1E3B">
        <w:rPr>
          <w:sz w:val="26"/>
          <w:szCs w:val="26"/>
          <w:lang w:val="en-GB"/>
        </w:rPr>
        <w:t>/</w:t>
      </w:r>
      <w:r w:rsidR="008E1E3B">
        <w:rPr>
          <w:rFonts w:hint="cs"/>
          <w:sz w:val="26"/>
          <w:szCs w:val="26"/>
          <w:rtl/>
          <w:lang w:val="en-GB"/>
        </w:rPr>
        <w:t>או יחדיו</w:t>
      </w:r>
      <w:r w:rsidR="001D505B">
        <w:rPr>
          <w:rFonts w:hint="cs"/>
          <w:sz w:val="26"/>
          <w:szCs w:val="26"/>
          <w:rtl/>
          <w:lang w:val="en-GB"/>
        </w:rPr>
        <w:t>,</w:t>
      </w:r>
      <w:r w:rsidR="004F3BC2">
        <w:rPr>
          <w:rFonts w:hint="cs"/>
          <w:sz w:val="26"/>
          <w:szCs w:val="26"/>
          <w:rtl/>
          <w:lang w:val="en-GB"/>
        </w:rPr>
        <w:t xml:space="preserve"> הם הגורמים למחלה ה</w:t>
      </w:r>
      <w:r w:rsidR="002D4670">
        <w:rPr>
          <w:rFonts w:hint="cs"/>
          <w:sz w:val="26"/>
          <w:szCs w:val="26"/>
          <w:rtl/>
          <w:lang w:val="en-GB"/>
        </w:rPr>
        <w:t xml:space="preserve">כלייתית </w:t>
      </w:r>
      <w:r w:rsidR="00D20462">
        <w:rPr>
          <w:rFonts w:hint="cs"/>
          <w:sz w:val="26"/>
          <w:szCs w:val="26"/>
          <w:rtl/>
          <w:lang w:val="en-GB"/>
        </w:rPr>
        <w:t xml:space="preserve">על </w:t>
      </w:r>
      <w:r w:rsidR="002D4670">
        <w:rPr>
          <w:rFonts w:hint="cs"/>
          <w:sz w:val="26"/>
          <w:szCs w:val="26"/>
          <w:rtl/>
          <w:lang w:val="en-GB"/>
        </w:rPr>
        <w:t>השלכותיה הקשות.</w:t>
      </w:r>
    </w:p>
    <w:p w14:paraId="42D17C96" w14:textId="77777777" w:rsidR="00E64FCF" w:rsidRPr="00E64FCF" w:rsidRDefault="00E64FCF" w:rsidP="00E64FCF">
      <w:pPr>
        <w:spacing w:line="360" w:lineRule="auto"/>
        <w:ind w:left="374" w:right="426"/>
        <w:jc w:val="both"/>
        <w:rPr>
          <w:sz w:val="26"/>
          <w:szCs w:val="26"/>
          <w:rtl/>
        </w:rPr>
      </w:pPr>
    </w:p>
    <w:p w14:paraId="79A56F8A" w14:textId="77777777" w:rsidR="00E64FCF" w:rsidRPr="00835E2C" w:rsidRDefault="00E64FCF" w:rsidP="00E64FCF">
      <w:pPr>
        <w:numPr>
          <w:ilvl w:val="0"/>
          <w:numId w:val="12"/>
        </w:numPr>
        <w:spacing w:line="360" w:lineRule="auto"/>
        <w:ind w:left="-52" w:right="397" w:hanging="708"/>
        <w:jc w:val="both"/>
        <w:rPr>
          <w:sz w:val="26"/>
          <w:szCs w:val="26"/>
          <w:rtl/>
        </w:rPr>
      </w:pPr>
      <w:r w:rsidRPr="00835E2C">
        <w:rPr>
          <w:sz w:val="26"/>
          <w:szCs w:val="26"/>
          <w:rtl/>
        </w:rPr>
        <w:t xml:space="preserve">כל טענות </w:t>
      </w:r>
      <w:r>
        <w:rPr>
          <w:rFonts w:hint="cs"/>
          <w:sz w:val="26"/>
          <w:szCs w:val="26"/>
          <w:rtl/>
        </w:rPr>
        <w:t>המערער</w:t>
      </w:r>
      <w:r w:rsidRPr="00835E2C">
        <w:rPr>
          <w:sz w:val="26"/>
          <w:szCs w:val="26"/>
          <w:rtl/>
        </w:rPr>
        <w:t xml:space="preserve"> נטענות ביחד ו/או לחוד ו/או לחילופין, הכל</w:t>
      </w:r>
      <w:r w:rsidRPr="00835E2C">
        <w:rPr>
          <w:rFonts w:hint="cs"/>
          <w:sz w:val="26"/>
          <w:szCs w:val="26"/>
          <w:rtl/>
        </w:rPr>
        <w:t xml:space="preserve"> </w:t>
      </w:r>
      <w:r w:rsidRPr="00835E2C">
        <w:rPr>
          <w:sz w:val="26"/>
          <w:szCs w:val="26"/>
          <w:rtl/>
        </w:rPr>
        <w:t>פי הקשר העניין ו/או בגין הדברים אשר גרמו במיש</w:t>
      </w:r>
      <w:r w:rsidRPr="00835E2C">
        <w:rPr>
          <w:rFonts w:hint="cs"/>
          <w:sz w:val="26"/>
          <w:szCs w:val="26"/>
          <w:rtl/>
        </w:rPr>
        <w:t>רין ו</w:t>
      </w:r>
      <w:r w:rsidRPr="00835E2C">
        <w:rPr>
          <w:sz w:val="26"/>
          <w:szCs w:val="26"/>
          <w:rtl/>
        </w:rPr>
        <w:t xml:space="preserve">/או בעקיפין </w:t>
      </w:r>
      <w:r>
        <w:rPr>
          <w:rFonts w:hint="cs"/>
          <w:sz w:val="26"/>
          <w:szCs w:val="26"/>
          <w:rtl/>
        </w:rPr>
        <w:t>לפגימותיו של</w:t>
      </w:r>
      <w:r w:rsidRPr="00835E2C">
        <w:rPr>
          <w:sz w:val="26"/>
          <w:szCs w:val="26"/>
          <w:rtl/>
        </w:rPr>
        <w:t xml:space="preserve"> המערער. </w:t>
      </w:r>
    </w:p>
    <w:p w14:paraId="5AB4F44C" w14:textId="77777777" w:rsidR="00E64FCF" w:rsidRPr="00835E2C" w:rsidRDefault="00E64FCF" w:rsidP="00E64FCF">
      <w:pPr>
        <w:spacing w:line="360" w:lineRule="auto"/>
        <w:ind w:left="-52" w:right="397" w:hanging="708"/>
        <w:jc w:val="both"/>
        <w:rPr>
          <w:sz w:val="26"/>
          <w:szCs w:val="26"/>
        </w:rPr>
      </w:pPr>
    </w:p>
    <w:p w14:paraId="6B0CE87D" w14:textId="730F8652" w:rsidR="00E64FCF" w:rsidRDefault="00E64FCF" w:rsidP="00E64FCF">
      <w:pPr>
        <w:numPr>
          <w:ilvl w:val="0"/>
          <w:numId w:val="12"/>
        </w:numPr>
        <w:spacing w:line="360" w:lineRule="auto"/>
        <w:ind w:left="-52" w:right="397" w:hanging="708"/>
        <w:jc w:val="both"/>
        <w:rPr>
          <w:sz w:val="26"/>
          <w:szCs w:val="26"/>
          <w:rtl/>
        </w:rPr>
      </w:pPr>
      <w:r w:rsidRPr="00835E2C">
        <w:rPr>
          <w:sz w:val="26"/>
          <w:szCs w:val="26"/>
          <w:rtl/>
        </w:rPr>
        <w:lastRenderedPageBreak/>
        <w:t>מכל האמור, מתבקש</w:t>
      </w:r>
      <w:r>
        <w:rPr>
          <w:rFonts w:hint="cs"/>
          <w:sz w:val="26"/>
          <w:szCs w:val="26"/>
          <w:rtl/>
        </w:rPr>
        <w:t>ת הוועדה הנכבדה</w:t>
      </w:r>
      <w:r w:rsidRPr="00835E2C">
        <w:rPr>
          <w:sz w:val="26"/>
          <w:szCs w:val="26"/>
          <w:rtl/>
        </w:rPr>
        <w:t xml:space="preserve">, לקבל את הערעור ולקבוע כי </w:t>
      </w:r>
      <w:r>
        <w:rPr>
          <w:rFonts w:hint="cs"/>
          <w:sz w:val="26"/>
          <w:szCs w:val="26"/>
          <w:rtl/>
        </w:rPr>
        <w:t>מתקיים</w:t>
      </w:r>
      <w:r w:rsidRPr="00835E2C">
        <w:rPr>
          <w:sz w:val="26"/>
          <w:szCs w:val="26"/>
          <w:rtl/>
        </w:rPr>
        <w:t xml:space="preserve"> קשר סיבתי בין </w:t>
      </w:r>
      <w:r w:rsidR="00025FDA">
        <w:rPr>
          <w:rFonts w:hint="cs"/>
          <w:sz w:val="26"/>
          <w:szCs w:val="26"/>
          <w:rtl/>
        </w:rPr>
        <w:t xml:space="preserve">המחלה הכלייתית בה לקה </w:t>
      </w:r>
      <w:r>
        <w:rPr>
          <w:rFonts w:hint="cs"/>
          <w:sz w:val="26"/>
          <w:szCs w:val="26"/>
          <w:rtl/>
        </w:rPr>
        <w:t>המערער</w:t>
      </w:r>
      <w:r>
        <w:rPr>
          <w:sz w:val="26"/>
          <w:szCs w:val="26"/>
          <w:rtl/>
        </w:rPr>
        <w:t xml:space="preserve">, לבין </w:t>
      </w:r>
      <w:r>
        <w:rPr>
          <w:rFonts w:hint="cs"/>
          <w:sz w:val="26"/>
          <w:szCs w:val="26"/>
          <w:rtl/>
        </w:rPr>
        <w:t>שרותו</w:t>
      </w:r>
      <w:r w:rsidRPr="00835E2C">
        <w:rPr>
          <w:sz w:val="26"/>
          <w:szCs w:val="26"/>
          <w:rtl/>
        </w:rPr>
        <w:t xml:space="preserve">, כמו כן, להשית הוצאות הערעור ושכ"ט עו"ד על המשיב. </w:t>
      </w:r>
    </w:p>
    <w:p w14:paraId="693FFE4A" w14:textId="77777777" w:rsidR="00B9646F" w:rsidRPr="00D01E21" w:rsidRDefault="00B9646F" w:rsidP="00D01E21">
      <w:pPr>
        <w:spacing w:line="360" w:lineRule="auto"/>
        <w:jc w:val="both"/>
        <w:rPr>
          <w:sz w:val="26"/>
          <w:szCs w:val="26"/>
        </w:rPr>
      </w:pPr>
    </w:p>
    <w:p w14:paraId="570B58E3" w14:textId="77777777" w:rsidR="00A30ADE" w:rsidRPr="008F2304" w:rsidRDefault="00A30ADE" w:rsidP="000F100D">
      <w:pPr>
        <w:jc w:val="both"/>
      </w:pPr>
    </w:p>
    <w:p w14:paraId="695DEDE7" w14:textId="77777777" w:rsidR="00AA0BEA" w:rsidRPr="008F2304" w:rsidRDefault="00AA0BEA" w:rsidP="00AA0BEA">
      <w:pPr>
        <w:keepNext/>
        <w:rPr>
          <w:rFonts w:ascii="David" w:hAnsi="David"/>
          <w:color w:val="000000"/>
          <w:rtl/>
        </w:rPr>
      </w:pPr>
    </w:p>
    <w:p w14:paraId="537CB745" w14:textId="77777777" w:rsidR="00A30ADE" w:rsidRPr="008F2304" w:rsidRDefault="00A30ADE" w:rsidP="000F100D">
      <w:pPr>
        <w:jc w:val="both"/>
      </w:pPr>
    </w:p>
    <w:p w14:paraId="728FB1AC" w14:textId="77777777" w:rsidR="00F12CE0" w:rsidRPr="008F2304" w:rsidRDefault="00F12CE0" w:rsidP="00525C68">
      <w:pPr>
        <w:ind w:left="5040" w:firstLine="720"/>
        <w:jc w:val="both"/>
        <w:rPr>
          <w:rtl/>
        </w:rPr>
      </w:pPr>
      <w:r w:rsidRPr="008F2304">
        <w:rPr>
          <w:rFonts w:hint="cs"/>
          <w:rtl/>
        </w:rPr>
        <w:t>_______</w:t>
      </w:r>
      <w:r w:rsidR="00525C68">
        <w:rPr>
          <w:rFonts w:hint="cs"/>
          <w:rtl/>
        </w:rPr>
        <w:t>__</w:t>
      </w:r>
      <w:r w:rsidRPr="008F2304">
        <w:rPr>
          <w:rFonts w:hint="cs"/>
          <w:rtl/>
        </w:rPr>
        <w:t>______</w:t>
      </w:r>
    </w:p>
    <w:p w14:paraId="0DA00B00" w14:textId="77777777" w:rsidR="00F12CE0" w:rsidRPr="00525C68" w:rsidRDefault="00525C68" w:rsidP="0062478F">
      <w:pPr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62478F" w:rsidRPr="00525C68">
        <w:rPr>
          <w:rFonts w:hint="cs"/>
          <w:b/>
          <w:bCs/>
          <w:rtl/>
        </w:rPr>
        <w:t>אריאל פרייברג</w:t>
      </w:r>
      <w:r w:rsidR="00F12CE0" w:rsidRPr="00525C68">
        <w:rPr>
          <w:b/>
          <w:bCs/>
          <w:rtl/>
        </w:rPr>
        <w:t>, עו"ד</w:t>
      </w:r>
    </w:p>
    <w:p w14:paraId="4FD2A7AF" w14:textId="77777777" w:rsidR="00AA0BEA" w:rsidRPr="00525C68" w:rsidRDefault="00F12CE0" w:rsidP="00AA0BEA">
      <w:pPr>
        <w:rPr>
          <w:b/>
          <w:bCs/>
          <w:color w:val="000000"/>
          <w:rtl/>
        </w:rPr>
      </w:pP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="00BD710C" w:rsidRPr="00525C68">
        <w:rPr>
          <w:rFonts w:hint="cs"/>
          <w:b/>
          <w:bCs/>
          <w:rtl/>
        </w:rPr>
        <w:tab/>
      </w:r>
      <w:r w:rsidR="00BD710C"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>ב"כ          ה</w:t>
      </w:r>
      <w:r w:rsidR="00BD710C" w:rsidRPr="00525C68">
        <w:rPr>
          <w:rFonts w:hint="cs"/>
          <w:b/>
          <w:bCs/>
          <w:rtl/>
        </w:rPr>
        <w:t>מערער</w:t>
      </w:r>
    </w:p>
    <w:p w14:paraId="5F77D69D" w14:textId="77777777" w:rsidR="00AA0BEA" w:rsidRPr="008F2304" w:rsidRDefault="00AA0BEA">
      <w:pPr>
        <w:rPr>
          <w:color w:val="000000"/>
          <w:rtl/>
        </w:rPr>
      </w:pPr>
    </w:p>
    <w:sectPr w:rsidR="00AA0BEA" w:rsidRPr="008F2304" w:rsidSect="00AA0BEA">
      <w:headerReference w:type="even" r:id="rId8"/>
      <w:footerReference w:type="even" r:id="rId9"/>
      <w:footerReference w:type="default" r:id="rId10"/>
      <w:pgSz w:w="11906" w:h="16838"/>
      <w:pgMar w:top="1440" w:right="1797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8354B" w14:textId="77777777" w:rsidR="008E76BE" w:rsidRDefault="008E76BE" w:rsidP="00970E07">
      <w:r>
        <w:separator/>
      </w:r>
    </w:p>
  </w:endnote>
  <w:endnote w:type="continuationSeparator" w:id="0">
    <w:p w14:paraId="2F65A4B9" w14:textId="77777777" w:rsidR="008E76BE" w:rsidRDefault="008E76BE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71580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740B0AE" w14:textId="77777777" w:rsid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67C6F39A" w14:textId="77777777" w:rsidR="00AA0BEA" w:rsidRP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DA7B56">
      <w:rPr>
        <w:rFonts w:cs="Times New Roman"/>
        <w:noProof/>
        <w:color w:val="000000"/>
        <w:sz w:val="14"/>
        <w:szCs w:val="14"/>
      </w:rPr>
      <w:t>C</w:t>
    </w:r>
    <w:r w:rsidR="00DA7B56">
      <w:rPr>
        <w:rFonts w:cs="Times New Roman"/>
        <w:noProof/>
        <w:color w:val="000000"/>
        <w:sz w:val="14"/>
        <w:szCs w:val="14"/>
        <w:rtl/>
      </w:rPr>
      <w:t>:\אריאל\דורון טלמור\ערר מתוקן - אסטמה.</w:t>
    </w:r>
    <w:r w:rsidR="00DA7B56">
      <w:rPr>
        <w:rFonts w:cs="Times New Roman"/>
        <w:noProof/>
        <w:color w:val="000000"/>
        <w:sz w:val="14"/>
        <w:szCs w:val="14"/>
      </w:rPr>
      <w:t>doc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8362B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 w:rsidR="00835E2C">
      <w:rPr>
        <w:rFonts w:ascii="FrankRuehl" w:hAnsi="FrankRuehl" w:cs="FrankRuehl"/>
        <w:noProof/>
        <w:rtl/>
      </w:rPr>
      <w:t>4</w:t>
    </w:r>
    <w:r>
      <w:rPr>
        <w:rFonts w:ascii="FrankRuehl" w:hAnsi="FrankRuehl" w:cs="FrankRuehl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F2652" w14:textId="77777777" w:rsidR="008E76BE" w:rsidRDefault="008E76BE" w:rsidP="00970E07">
      <w:r>
        <w:separator/>
      </w:r>
    </w:p>
  </w:footnote>
  <w:footnote w:type="continuationSeparator" w:id="0">
    <w:p w14:paraId="72B957BB" w14:textId="77777777" w:rsidR="008E76BE" w:rsidRDefault="008E76BE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B6314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r>
      <w:rPr>
        <w:rFonts w:ascii="David" w:hAnsi="David"/>
        <w:color w:val="000000"/>
        <w:sz w:val="22"/>
        <w:szCs w:val="22"/>
        <w:rtl/>
      </w:rPr>
      <w:t xml:space="preserve">ענ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76BEA"/>
    <w:multiLevelType w:val="hybridMultilevel"/>
    <w:tmpl w:val="CC849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3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9B2173"/>
    <w:multiLevelType w:val="hybridMultilevel"/>
    <w:tmpl w:val="90488066"/>
    <w:lvl w:ilvl="0" w:tplc="5D74A6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8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9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0" w15:restartNumberingAfterBreak="0">
    <w:nsid w:val="41F04571"/>
    <w:multiLevelType w:val="hybridMultilevel"/>
    <w:tmpl w:val="BC8609DE"/>
    <w:lvl w:ilvl="0" w:tplc="D094376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271F7D"/>
    <w:multiLevelType w:val="hybridMultilevel"/>
    <w:tmpl w:val="5804F814"/>
    <w:lvl w:ilvl="0" w:tplc="A46C4F74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5C220C"/>
    <w:multiLevelType w:val="hybridMultilevel"/>
    <w:tmpl w:val="78BA12CA"/>
    <w:lvl w:ilvl="0" w:tplc="8C38C170">
      <w:start w:val="1"/>
      <w:numFmt w:val="hebrew1"/>
      <w:lvlText w:val="%1."/>
      <w:lvlJc w:val="left"/>
      <w:pPr>
        <w:ind w:left="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5" w:hanging="360"/>
      </w:pPr>
    </w:lvl>
    <w:lvl w:ilvl="2" w:tplc="0409001B" w:tentative="1">
      <w:start w:val="1"/>
      <w:numFmt w:val="lowerRoman"/>
      <w:lvlText w:val="%3."/>
      <w:lvlJc w:val="right"/>
      <w:pPr>
        <w:ind w:left="2315" w:hanging="180"/>
      </w:pPr>
    </w:lvl>
    <w:lvl w:ilvl="3" w:tplc="0409000F" w:tentative="1">
      <w:start w:val="1"/>
      <w:numFmt w:val="decimal"/>
      <w:lvlText w:val="%4."/>
      <w:lvlJc w:val="left"/>
      <w:pPr>
        <w:ind w:left="3035" w:hanging="360"/>
      </w:pPr>
    </w:lvl>
    <w:lvl w:ilvl="4" w:tplc="04090019" w:tentative="1">
      <w:start w:val="1"/>
      <w:numFmt w:val="lowerLetter"/>
      <w:lvlText w:val="%5."/>
      <w:lvlJc w:val="left"/>
      <w:pPr>
        <w:ind w:left="3755" w:hanging="360"/>
      </w:pPr>
    </w:lvl>
    <w:lvl w:ilvl="5" w:tplc="0409001B" w:tentative="1">
      <w:start w:val="1"/>
      <w:numFmt w:val="lowerRoman"/>
      <w:lvlText w:val="%6."/>
      <w:lvlJc w:val="right"/>
      <w:pPr>
        <w:ind w:left="4475" w:hanging="180"/>
      </w:pPr>
    </w:lvl>
    <w:lvl w:ilvl="6" w:tplc="0409000F" w:tentative="1">
      <w:start w:val="1"/>
      <w:numFmt w:val="decimal"/>
      <w:lvlText w:val="%7."/>
      <w:lvlJc w:val="left"/>
      <w:pPr>
        <w:ind w:left="5195" w:hanging="360"/>
      </w:pPr>
    </w:lvl>
    <w:lvl w:ilvl="7" w:tplc="04090019" w:tentative="1">
      <w:start w:val="1"/>
      <w:numFmt w:val="lowerLetter"/>
      <w:lvlText w:val="%8."/>
      <w:lvlJc w:val="left"/>
      <w:pPr>
        <w:ind w:left="5915" w:hanging="360"/>
      </w:pPr>
    </w:lvl>
    <w:lvl w:ilvl="8" w:tplc="0409001B" w:tentative="1">
      <w:start w:val="1"/>
      <w:numFmt w:val="lowerRoman"/>
      <w:lvlText w:val="%9."/>
      <w:lvlJc w:val="right"/>
      <w:pPr>
        <w:ind w:left="6635" w:hanging="180"/>
      </w:pPr>
    </w:lvl>
  </w:abstractNum>
  <w:abstractNum w:abstractNumId="14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6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 w16cid:durableId="131336752">
    <w:abstractNumId w:val="5"/>
  </w:num>
  <w:num w:numId="2" w16cid:durableId="363529776">
    <w:abstractNumId w:val="7"/>
  </w:num>
  <w:num w:numId="3" w16cid:durableId="463885939">
    <w:abstractNumId w:val="14"/>
  </w:num>
  <w:num w:numId="4" w16cid:durableId="812478851">
    <w:abstractNumId w:val="3"/>
  </w:num>
  <w:num w:numId="5" w16cid:durableId="1925451779">
    <w:abstractNumId w:val="12"/>
  </w:num>
  <w:num w:numId="6" w16cid:durableId="1895001009">
    <w:abstractNumId w:val="1"/>
  </w:num>
  <w:num w:numId="7" w16cid:durableId="809982755">
    <w:abstractNumId w:val="8"/>
  </w:num>
  <w:num w:numId="8" w16cid:durableId="178937393">
    <w:abstractNumId w:val="17"/>
  </w:num>
  <w:num w:numId="9" w16cid:durableId="1239747328">
    <w:abstractNumId w:val="2"/>
  </w:num>
  <w:num w:numId="10" w16cid:durableId="1053388774">
    <w:abstractNumId w:val="9"/>
  </w:num>
  <w:num w:numId="11" w16cid:durableId="410542426">
    <w:abstractNumId w:val="16"/>
  </w:num>
  <w:num w:numId="12" w16cid:durableId="214658634">
    <w:abstractNumId w:val="11"/>
  </w:num>
  <w:num w:numId="13" w16cid:durableId="1403529545">
    <w:abstractNumId w:val="15"/>
  </w:num>
  <w:num w:numId="14" w16cid:durableId="580063461">
    <w:abstractNumId w:val="0"/>
  </w:num>
  <w:num w:numId="15" w16cid:durableId="1237281398">
    <w:abstractNumId w:val="10"/>
  </w:num>
  <w:num w:numId="16" w16cid:durableId="275792834">
    <w:abstractNumId w:val="4"/>
  </w:num>
  <w:num w:numId="17" w16cid:durableId="612172331">
    <w:abstractNumId w:val="6"/>
  </w:num>
  <w:num w:numId="18" w16cid:durableId="17181663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67DAC"/>
    <w:rsid w:val="0000370F"/>
    <w:rsid w:val="00025FDA"/>
    <w:rsid w:val="00032D41"/>
    <w:rsid w:val="000469BE"/>
    <w:rsid w:val="000520C9"/>
    <w:rsid w:val="00060805"/>
    <w:rsid w:val="00062BDD"/>
    <w:rsid w:val="00064C1B"/>
    <w:rsid w:val="00067DAC"/>
    <w:rsid w:val="00070630"/>
    <w:rsid w:val="00081388"/>
    <w:rsid w:val="000D163D"/>
    <w:rsid w:val="000D6BDD"/>
    <w:rsid w:val="000F100D"/>
    <w:rsid w:val="000F2696"/>
    <w:rsid w:val="00103077"/>
    <w:rsid w:val="00116DE9"/>
    <w:rsid w:val="00121D18"/>
    <w:rsid w:val="0012249A"/>
    <w:rsid w:val="00127081"/>
    <w:rsid w:val="00142B3A"/>
    <w:rsid w:val="001574CA"/>
    <w:rsid w:val="001661D0"/>
    <w:rsid w:val="001C2C5E"/>
    <w:rsid w:val="001C5385"/>
    <w:rsid w:val="001D505B"/>
    <w:rsid w:val="00202679"/>
    <w:rsid w:val="00207287"/>
    <w:rsid w:val="00225559"/>
    <w:rsid w:val="00245453"/>
    <w:rsid w:val="002554DA"/>
    <w:rsid w:val="00263F55"/>
    <w:rsid w:val="00282794"/>
    <w:rsid w:val="00296EE5"/>
    <w:rsid w:val="002A45DF"/>
    <w:rsid w:val="002A6314"/>
    <w:rsid w:val="002D2A16"/>
    <w:rsid w:val="002D3962"/>
    <w:rsid w:val="002D4670"/>
    <w:rsid w:val="002F32B4"/>
    <w:rsid w:val="002F7CDE"/>
    <w:rsid w:val="003077F0"/>
    <w:rsid w:val="003177E1"/>
    <w:rsid w:val="00321886"/>
    <w:rsid w:val="0033108F"/>
    <w:rsid w:val="00334BF5"/>
    <w:rsid w:val="00345B36"/>
    <w:rsid w:val="00356F0E"/>
    <w:rsid w:val="003577C9"/>
    <w:rsid w:val="00376335"/>
    <w:rsid w:val="003A4915"/>
    <w:rsid w:val="003A5BAF"/>
    <w:rsid w:val="003A5C44"/>
    <w:rsid w:val="003C1DF8"/>
    <w:rsid w:val="003C24BE"/>
    <w:rsid w:val="003E7DDE"/>
    <w:rsid w:val="003F28F6"/>
    <w:rsid w:val="00405D35"/>
    <w:rsid w:val="004105FB"/>
    <w:rsid w:val="004336CD"/>
    <w:rsid w:val="0043600A"/>
    <w:rsid w:val="004459D7"/>
    <w:rsid w:val="0046687A"/>
    <w:rsid w:val="0048048E"/>
    <w:rsid w:val="00483BCE"/>
    <w:rsid w:val="004A34DB"/>
    <w:rsid w:val="004D586B"/>
    <w:rsid w:val="004E2C36"/>
    <w:rsid w:val="004E305A"/>
    <w:rsid w:val="004E781C"/>
    <w:rsid w:val="004E78CB"/>
    <w:rsid w:val="004F3BC2"/>
    <w:rsid w:val="00502658"/>
    <w:rsid w:val="00517527"/>
    <w:rsid w:val="0052392B"/>
    <w:rsid w:val="00525C68"/>
    <w:rsid w:val="00526702"/>
    <w:rsid w:val="00564C46"/>
    <w:rsid w:val="00587F00"/>
    <w:rsid w:val="005C6D23"/>
    <w:rsid w:val="005C7EFE"/>
    <w:rsid w:val="005F2B4A"/>
    <w:rsid w:val="005F5C6B"/>
    <w:rsid w:val="006049E8"/>
    <w:rsid w:val="00622921"/>
    <w:rsid w:val="0062478F"/>
    <w:rsid w:val="00626836"/>
    <w:rsid w:val="00636301"/>
    <w:rsid w:val="00636866"/>
    <w:rsid w:val="00641280"/>
    <w:rsid w:val="00642060"/>
    <w:rsid w:val="0065299D"/>
    <w:rsid w:val="00666AA5"/>
    <w:rsid w:val="006717AB"/>
    <w:rsid w:val="00674CB0"/>
    <w:rsid w:val="0067515A"/>
    <w:rsid w:val="0067680C"/>
    <w:rsid w:val="00691162"/>
    <w:rsid w:val="006917AE"/>
    <w:rsid w:val="006944DE"/>
    <w:rsid w:val="006A0993"/>
    <w:rsid w:val="006B2DA3"/>
    <w:rsid w:val="006B3CC7"/>
    <w:rsid w:val="006D09B9"/>
    <w:rsid w:val="006E0966"/>
    <w:rsid w:val="006E62C1"/>
    <w:rsid w:val="006E68F8"/>
    <w:rsid w:val="006F2232"/>
    <w:rsid w:val="006F6AE7"/>
    <w:rsid w:val="00717F15"/>
    <w:rsid w:val="00725268"/>
    <w:rsid w:val="00756976"/>
    <w:rsid w:val="00761776"/>
    <w:rsid w:val="007643E3"/>
    <w:rsid w:val="0077504B"/>
    <w:rsid w:val="00791A30"/>
    <w:rsid w:val="00796D63"/>
    <w:rsid w:val="007A2501"/>
    <w:rsid w:val="007A44AD"/>
    <w:rsid w:val="007A6AA3"/>
    <w:rsid w:val="007A76C4"/>
    <w:rsid w:val="007B2916"/>
    <w:rsid w:val="007C0B68"/>
    <w:rsid w:val="007C3AEB"/>
    <w:rsid w:val="007D0D21"/>
    <w:rsid w:val="007D2632"/>
    <w:rsid w:val="007D7E81"/>
    <w:rsid w:val="007E16E8"/>
    <w:rsid w:val="007E76E7"/>
    <w:rsid w:val="007F59F1"/>
    <w:rsid w:val="007F5BD6"/>
    <w:rsid w:val="008017A4"/>
    <w:rsid w:val="00801A23"/>
    <w:rsid w:val="008271AF"/>
    <w:rsid w:val="00835E2C"/>
    <w:rsid w:val="00875223"/>
    <w:rsid w:val="00877610"/>
    <w:rsid w:val="0089321E"/>
    <w:rsid w:val="008C0A30"/>
    <w:rsid w:val="008C3074"/>
    <w:rsid w:val="008D7EBA"/>
    <w:rsid w:val="008E1E3B"/>
    <w:rsid w:val="008E76BE"/>
    <w:rsid w:val="008F2304"/>
    <w:rsid w:val="008F61BB"/>
    <w:rsid w:val="008F638A"/>
    <w:rsid w:val="00901DB6"/>
    <w:rsid w:val="00902189"/>
    <w:rsid w:val="009214A1"/>
    <w:rsid w:val="0094441B"/>
    <w:rsid w:val="009478DC"/>
    <w:rsid w:val="00957D4A"/>
    <w:rsid w:val="00963F8D"/>
    <w:rsid w:val="00970E07"/>
    <w:rsid w:val="0097759E"/>
    <w:rsid w:val="0098448A"/>
    <w:rsid w:val="00984F30"/>
    <w:rsid w:val="00987808"/>
    <w:rsid w:val="009B4452"/>
    <w:rsid w:val="009D0117"/>
    <w:rsid w:val="009D3FF6"/>
    <w:rsid w:val="009F17A3"/>
    <w:rsid w:val="00A10281"/>
    <w:rsid w:val="00A30ADE"/>
    <w:rsid w:val="00A715E7"/>
    <w:rsid w:val="00AA0BEA"/>
    <w:rsid w:val="00AA5841"/>
    <w:rsid w:val="00AA770F"/>
    <w:rsid w:val="00AB5900"/>
    <w:rsid w:val="00AD5908"/>
    <w:rsid w:val="00AE32AB"/>
    <w:rsid w:val="00AF36FC"/>
    <w:rsid w:val="00B13941"/>
    <w:rsid w:val="00B15402"/>
    <w:rsid w:val="00B24F8F"/>
    <w:rsid w:val="00B25E0A"/>
    <w:rsid w:val="00B35A04"/>
    <w:rsid w:val="00B5359C"/>
    <w:rsid w:val="00B60D0E"/>
    <w:rsid w:val="00B8495A"/>
    <w:rsid w:val="00B86915"/>
    <w:rsid w:val="00B86E1C"/>
    <w:rsid w:val="00B91E3D"/>
    <w:rsid w:val="00B9646F"/>
    <w:rsid w:val="00B974DD"/>
    <w:rsid w:val="00BB5EC8"/>
    <w:rsid w:val="00BC6B48"/>
    <w:rsid w:val="00BD173F"/>
    <w:rsid w:val="00BD710C"/>
    <w:rsid w:val="00BE2A10"/>
    <w:rsid w:val="00BF2B04"/>
    <w:rsid w:val="00C10FDB"/>
    <w:rsid w:val="00C157A4"/>
    <w:rsid w:val="00C275CE"/>
    <w:rsid w:val="00C5211C"/>
    <w:rsid w:val="00C856DC"/>
    <w:rsid w:val="00C91324"/>
    <w:rsid w:val="00C95B3E"/>
    <w:rsid w:val="00CA2470"/>
    <w:rsid w:val="00CA32CB"/>
    <w:rsid w:val="00CA4054"/>
    <w:rsid w:val="00CB0F50"/>
    <w:rsid w:val="00CC0B6E"/>
    <w:rsid w:val="00CC23F8"/>
    <w:rsid w:val="00CC46D0"/>
    <w:rsid w:val="00CD5393"/>
    <w:rsid w:val="00D006BE"/>
    <w:rsid w:val="00D01E21"/>
    <w:rsid w:val="00D040B5"/>
    <w:rsid w:val="00D20462"/>
    <w:rsid w:val="00D22A92"/>
    <w:rsid w:val="00D54344"/>
    <w:rsid w:val="00D80C9C"/>
    <w:rsid w:val="00D83021"/>
    <w:rsid w:val="00D83456"/>
    <w:rsid w:val="00D84EB7"/>
    <w:rsid w:val="00DA7B56"/>
    <w:rsid w:val="00DB3DE6"/>
    <w:rsid w:val="00DC2F3F"/>
    <w:rsid w:val="00DE44FF"/>
    <w:rsid w:val="00DF33FD"/>
    <w:rsid w:val="00E001A0"/>
    <w:rsid w:val="00E06D86"/>
    <w:rsid w:val="00E1692C"/>
    <w:rsid w:val="00E218AB"/>
    <w:rsid w:val="00E30104"/>
    <w:rsid w:val="00E4549B"/>
    <w:rsid w:val="00E51E7D"/>
    <w:rsid w:val="00E61088"/>
    <w:rsid w:val="00E64FCF"/>
    <w:rsid w:val="00E82336"/>
    <w:rsid w:val="00EA0BA4"/>
    <w:rsid w:val="00EA46D8"/>
    <w:rsid w:val="00EA6339"/>
    <w:rsid w:val="00EB1B71"/>
    <w:rsid w:val="00EC1254"/>
    <w:rsid w:val="00EC5F86"/>
    <w:rsid w:val="00ED26DE"/>
    <w:rsid w:val="00ED48BC"/>
    <w:rsid w:val="00F03739"/>
    <w:rsid w:val="00F05CC9"/>
    <w:rsid w:val="00F11528"/>
    <w:rsid w:val="00F12CE0"/>
    <w:rsid w:val="00F26A6E"/>
    <w:rsid w:val="00F36883"/>
    <w:rsid w:val="00F46D29"/>
    <w:rsid w:val="00F65DC6"/>
    <w:rsid w:val="00F80F81"/>
    <w:rsid w:val="00F81D8A"/>
    <w:rsid w:val="00F82120"/>
    <w:rsid w:val="00F944A6"/>
    <w:rsid w:val="00FB28A3"/>
    <w:rsid w:val="00FC7CCF"/>
    <w:rsid w:val="00FD5FCC"/>
    <w:rsid w:val="00FE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B1F488"/>
  <w15:chartTrackingRefBased/>
  <w15:docId w15:val="{FB81A93C-2643-5D4B-ABBD-92B060CC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6AA3"/>
    <w:pPr>
      <w:bidi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rsid w:val="000F100D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100D"/>
  </w:style>
  <w:style w:type="paragraph" w:styleId="a5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rsid w:val="00142B3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3CC7"/>
    <w:pPr>
      <w:ind w:left="720"/>
    </w:pPr>
  </w:style>
  <w:style w:type="paragraph" w:styleId="a7">
    <w:name w:val="Body Text"/>
    <w:basedOn w:val="a"/>
    <w:link w:val="a8"/>
    <w:rsid w:val="00070630"/>
    <w:pPr>
      <w:spacing w:after="120"/>
    </w:pPr>
  </w:style>
  <w:style w:type="character" w:customStyle="1" w:styleId="a8">
    <w:name w:val="גוף טקסט תו"/>
    <w:link w:val="a7"/>
    <w:rsid w:val="00070630"/>
    <w:rPr>
      <w:rFonts w:cs="David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5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של Office 2013 - 2022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972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user</dc:creator>
  <cp:keywords/>
  <cp:lastModifiedBy>ariel f</cp:lastModifiedBy>
  <cp:revision>2</cp:revision>
  <cp:lastPrinted>2021-10-20T14:10:00Z</cp:lastPrinted>
  <dcterms:created xsi:type="dcterms:W3CDTF">2024-10-01T06:10:00Z</dcterms:created>
  <dcterms:modified xsi:type="dcterms:W3CDTF">2024-10-01T06:10:00Z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</Properties>
</file>