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43D92F" w14:textId="2353ED11" w:rsidR="005C6D23" w:rsidRPr="008F2304" w:rsidRDefault="005C6D23"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sidRPr="008F2304">
        <w:rPr>
          <w:rFonts w:cs="David" w:hint="cs"/>
          <w:b/>
          <w:bCs/>
          <w:rtl/>
        </w:rPr>
        <w:t xml:space="preserve">בית משפט השלום </w:t>
      </w:r>
      <w:r w:rsidR="008627AF">
        <w:rPr>
          <w:rFonts w:cs="David"/>
          <w:b/>
          <w:bCs/>
          <w:rtl/>
        </w:rPr>
        <w:tab/>
      </w:r>
      <w:r w:rsidR="008627AF">
        <w:rPr>
          <w:rFonts w:cs="David"/>
          <w:b/>
          <w:bCs/>
          <w:rtl/>
        </w:rPr>
        <w:tab/>
      </w:r>
      <w:r w:rsidR="008627AF">
        <w:rPr>
          <w:rFonts w:cs="David"/>
          <w:b/>
          <w:bCs/>
          <w:rtl/>
        </w:rPr>
        <w:tab/>
      </w:r>
      <w:r w:rsidR="008627AF">
        <w:rPr>
          <w:rFonts w:cs="David"/>
          <w:b/>
          <w:bCs/>
          <w:rtl/>
        </w:rPr>
        <w:tab/>
      </w:r>
      <w:r w:rsidR="008627AF">
        <w:rPr>
          <w:rFonts w:cs="David"/>
          <w:b/>
          <w:bCs/>
          <w:rtl/>
        </w:rPr>
        <w:tab/>
      </w:r>
      <w:r w:rsidR="008627AF">
        <w:rPr>
          <w:rFonts w:cs="David"/>
          <w:b/>
          <w:bCs/>
          <w:rtl/>
        </w:rPr>
        <w:tab/>
      </w:r>
      <w:r w:rsidR="008627AF" w:rsidRPr="008627AF">
        <w:rPr>
          <w:rFonts w:cs="David" w:hint="cs"/>
          <w:b/>
          <w:bCs/>
          <w:rtl/>
        </w:rPr>
        <w:t>ע"נ</w:t>
      </w:r>
      <w:r w:rsidR="008627AF">
        <w:rPr>
          <w:rFonts w:cs="David" w:hint="cs"/>
          <w:b/>
          <w:bCs/>
          <w:rtl/>
        </w:rPr>
        <w:t xml:space="preserve"> </w:t>
      </w:r>
      <w:r w:rsidR="008F0BAF">
        <w:rPr>
          <w:rFonts w:cs="David" w:hint="cs"/>
          <w:b/>
          <w:bCs/>
          <w:rtl/>
        </w:rPr>
        <w:t>43175-04-24</w:t>
      </w:r>
    </w:p>
    <w:p w14:paraId="15EF9A85" w14:textId="4D50798D" w:rsidR="00BD710C" w:rsidRPr="008F2304" w:rsidRDefault="005C6D23"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sidRPr="008F2304">
        <w:rPr>
          <w:rFonts w:cs="David" w:hint="cs"/>
          <w:b/>
          <w:bCs/>
          <w:rtl/>
        </w:rPr>
        <w:t>בשבתו כ</w:t>
      </w:r>
      <w:r w:rsidR="00BD710C" w:rsidRPr="008F2304">
        <w:rPr>
          <w:rFonts w:cs="David" w:hint="cs"/>
          <w:b/>
          <w:bCs/>
          <w:rtl/>
        </w:rPr>
        <w:t xml:space="preserve">ועדה </w:t>
      </w:r>
      <w:r w:rsidRPr="008F2304">
        <w:rPr>
          <w:rFonts w:cs="David" w:hint="cs"/>
          <w:b/>
          <w:bCs/>
          <w:rtl/>
        </w:rPr>
        <w:t>לערעורים עפ"י חוק הנכים</w:t>
      </w:r>
      <w:r w:rsidR="00BD710C" w:rsidRPr="008F2304">
        <w:rPr>
          <w:rFonts w:cs="David" w:hint="cs"/>
          <w:b/>
          <w:bCs/>
          <w:rtl/>
        </w:rPr>
        <w:tab/>
      </w:r>
      <w:r w:rsidR="00BD710C" w:rsidRPr="008F2304">
        <w:rPr>
          <w:rFonts w:cs="David" w:hint="cs"/>
          <w:b/>
          <w:bCs/>
          <w:rtl/>
        </w:rPr>
        <w:tab/>
      </w:r>
      <w:r w:rsidR="00BD710C" w:rsidRPr="008F2304">
        <w:rPr>
          <w:rFonts w:cs="David" w:hint="cs"/>
          <w:b/>
          <w:bCs/>
          <w:rtl/>
        </w:rPr>
        <w:tab/>
      </w:r>
      <w:r w:rsidR="00BD710C" w:rsidRPr="008F2304">
        <w:rPr>
          <w:rFonts w:cs="David" w:hint="cs"/>
          <w:b/>
          <w:bCs/>
          <w:rtl/>
        </w:rPr>
        <w:tab/>
      </w:r>
      <w:r w:rsidR="008F0BAF" w:rsidRPr="00A04DD6">
        <w:rPr>
          <w:rFonts w:cs="David" w:hint="cs"/>
          <w:b/>
          <w:bCs/>
          <w:u w:val="single"/>
          <w:rtl/>
        </w:rPr>
        <w:t>בפני כב' השופט שי מזרחי</w:t>
      </w:r>
    </w:p>
    <w:p w14:paraId="2407ADDF" w14:textId="6FFBB707" w:rsidR="008F2304" w:rsidRDefault="00F07883"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Pr>
          <w:rFonts w:cs="David" w:hint="cs"/>
          <w:b/>
          <w:bCs/>
          <w:u w:val="single"/>
          <w:rtl/>
        </w:rPr>
        <w:t>בתל אביב</w:t>
      </w:r>
      <w:r w:rsidR="00F12CE0" w:rsidRPr="008F2304">
        <w:rPr>
          <w:rFonts w:cs="David" w:hint="cs"/>
          <w:rtl/>
        </w:rPr>
        <w:tab/>
      </w:r>
    </w:p>
    <w:p w14:paraId="3BE74DCF" w14:textId="77777777" w:rsidR="008F0BAF" w:rsidRDefault="008F0BAF" w:rsidP="008F2304">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p>
    <w:p w14:paraId="6608ABF2" w14:textId="77777777" w:rsidR="008F0BAF" w:rsidRDefault="008F0BAF" w:rsidP="008F0BA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Pr>
          <w:rFonts w:cs="David" w:hint="cs"/>
          <w:rtl/>
        </w:rPr>
        <w:t>בזיקה להחלטה מיום 2.5.2024</w:t>
      </w:r>
    </w:p>
    <w:p w14:paraId="55A5F769" w14:textId="27C10299" w:rsidR="00F12CE0" w:rsidRDefault="008F0BAF" w:rsidP="008F0BA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Pr>
          <w:rFonts w:cs="David" w:hint="cs"/>
          <w:rtl/>
        </w:rPr>
        <w:t>נערך ונחתם ביום 5.9.24</w:t>
      </w:r>
      <w:r w:rsidR="00F12CE0" w:rsidRPr="008F2304">
        <w:rPr>
          <w:rFonts w:cs="David" w:hint="cs"/>
          <w:rtl/>
        </w:rPr>
        <w:tab/>
      </w:r>
      <w:r w:rsidR="00F12CE0" w:rsidRPr="008F2304">
        <w:rPr>
          <w:rFonts w:cs="David" w:hint="cs"/>
          <w:rtl/>
        </w:rPr>
        <w:tab/>
      </w:r>
      <w:r w:rsidR="00F12CE0" w:rsidRPr="008F2304">
        <w:rPr>
          <w:rFonts w:cs="David" w:hint="cs"/>
          <w:rtl/>
        </w:rPr>
        <w:tab/>
      </w:r>
    </w:p>
    <w:p w14:paraId="5B116836" w14:textId="77777777" w:rsidR="00F12CE0" w:rsidRPr="008F2304" w:rsidRDefault="00F12CE0" w:rsidP="000F100D">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Pr>
      </w:pPr>
    </w:p>
    <w:p w14:paraId="45D7BD21" w14:textId="68ED3896" w:rsidR="00F12CE0" w:rsidRPr="008F2304" w:rsidRDefault="00F12CE0" w:rsidP="00314962">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sidRPr="008F2304">
        <w:rPr>
          <w:rFonts w:cs="David"/>
          <w:b/>
          <w:bCs/>
          <w:rtl/>
        </w:rPr>
        <w:t>ה</w:t>
      </w:r>
      <w:r w:rsidR="00D83021" w:rsidRPr="008F2304">
        <w:rPr>
          <w:rFonts w:cs="David" w:hint="cs"/>
          <w:b/>
          <w:bCs/>
          <w:rtl/>
        </w:rPr>
        <w:t>מ</w:t>
      </w:r>
      <w:r w:rsidR="00314962">
        <w:rPr>
          <w:rFonts w:cs="David" w:hint="cs"/>
          <w:b/>
          <w:bCs/>
          <w:rtl/>
        </w:rPr>
        <w:t>ערער</w:t>
      </w:r>
      <w:r w:rsidR="00F07883">
        <w:rPr>
          <w:rFonts w:cs="David" w:hint="cs"/>
          <w:b/>
          <w:bCs/>
          <w:rtl/>
        </w:rPr>
        <w:t>ת</w:t>
      </w:r>
      <w:r w:rsidR="008F2304">
        <w:rPr>
          <w:rFonts w:cs="David" w:hint="cs"/>
          <w:b/>
          <w:bCs/>
          <w:rtl/>
        </w:rPr>
        <w:t>:</w:t>
      </w:r>
      <w:r w:rsidRPr="008F2304">
        <w:rPr>
          <w:rFonts w:cs="David"/>
        </w:rPr>
        <w:tab/>
      </w:r>
      <w:r w:rsidR="005C6D23" w:rsidRPr="008F2304">
        <w:rPr>
          <w:rFonts w:cs="David" w:hint="cs"/>
          <w:rtl/>
        </w:rPr>
        <w:tab/>
      </w:r>
      <w:r w:rsidR="00F07883">
        <w:rPr>
          <w:rFonts w:cs="David" w:hint="cs"/>
          <w:b/>
          <w:bCs/>
          <w:sz w:val="26"/>
          <w:szCs w:val="26"/>
          <w:rtl/>
        </w:rPr>
        <w:t>עדן יצחק</w:t>
      </w:r>
      <w:r w:rsidR="005C6D23" w:rsidRPr="008F2304">
        <w:rPr>
          <w:rFonts w:cs="David" w:hint="cs"/>
          <w:b/>
          <w:bCs/>
          <w:sz w:val="26"/>
          <w:szCs w:val="26"/>
          <w:rtl/>
        </w:rPr>
        <w:t xml:space="preserve">, ת.ז. </w:t>
      </w:r>
      <w:r w:rsidR="00F07883">
        <w:rPr>
          <w:rFonts w:cs="David" w:hint="cs"/>
          <w:b/>
          <w:bCs/>
          <w:sz w:val="26"/>
          <w:szCs w:val="26"/>
          <w:rtl/>
        </w:rPr>
        <w:t>208935874</w:t>
      </w:r>
      <w:r w:rsidR="00BD710C" w:rsidRPr="008F2304">
        <w:rPr>
          <w:rFonts w:cs="David" w:hint="cs"/>
          <w:sz w:val="26"/>
          <w:szCs w:val="26"/>
          <w:rtl/>
        </w:rPr>
        <w:t xml:space="preserve"> </w:t>
      </w:r>
      <w:r w:rsidRPr="008F2304">
        <w:rPr>
          <w:rFonts w:cs="David"/>
          <w:sz w:val="26"/>
          <w:szCs w:val="26"/>
          <w:rtl/>
        </w:rPr>
        <w:t xml:space="preserve"> </w:t>
      </w:r>
    </w:p>
    <w:p w14:paraId="007F68D8" w14:textId="7A2051F9" w:rsidR="00F12CE0" w:rsidRPr="008F2304" w:rsidRDefault="00F12CE0" w:rsidP="00D9107F">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Pr>
      </w:pPr>
      <w:r w:rsidRPr="008F2304">
        <w:rPr>
          <w:rFonts w:cs="David"/>
        </w:rPr>
        <w:tab/>
      </w:r>
      <w:r w:rsidRPr="008F2304">
        <w:rPr>
          <w:rFonts w:cs="David"/>
        </w:rPr>
        <w:tab/>
      </w:r>
      <w:r w:rsidRPr="008F2304">
        <w:rPr>
          <w:rFonts w:cs="David"/>
        </w:rPr>
        <w:tab/>
      </w:r>
      <w:r w:rsidRPr="008F2304">
        <w:rPr>
          <w:rFonts w:cs="David"/>
          <w:rtl/>
        </w:rPr>
        <w:t xml:space="preserve">באמצעות </w:t>
      </w:r>
      <w:r w:rsidRPr="008F2304">
        <w:rPr>
          <w:rFonts w:cs="David" w:hint="cs"/>
          <w:rtl/>
        </w:rPr>
        <w:t xml:space="preserve">ב"כ </w:t>
      </w:r>
      <w:r w:rsidRPr="008F2304">
        <w:rPr>
          <w:rFonts w:cs="David"/>
          <w:rtl/>
        </w:rPr>
        <w:t>עו</w:t>
      </w:r>
      <w:r w:rsidRPr="008F2304">
        <w:rPr>
          <w:rFonts w:cs="David" w:hint="cs"/>
          <w:rtl/>
        </w:rPr>
        <w:t>ה</w:t>
      </w:r>
      <w:r w:rsidRPr="008F2304">
        <w:rPr>
          <w:rFonts w:cs="David"/>
          <w:rtl/>
        </w:rPr>
        <w:t xml:space="preserve">"ד </w:t>
      </w:r>
      <w:r w:rsidR="005C6D23" w:rsidRPr="008F2304">
        <w:rPr>
          <w:rFonts w:cs="David" w:hint="cs"/>
          <w:rtl/>
        </w:rPr>
        <w:t xml:space="preserve">אריאל פרייברג </w:t>
      </w:r>
      <w:r w:rsidR="0007549F">
        <w:rPr>
          <w:rFonts w:cs="David" w:hint="cs"/>
          <w:rtl/>
        </w:rPr>
        <w:t xml:space="preserve">(מ"ר 62254) </w:t>
      </w:r>
      <w:r w:rsidR="00D9107F">
        <w:rPr>
          <w:rFonts w:cs="David" w:hint="cs"/>
          <w:rtl/>
        </w:rPr>
        <w:t>ואח'</w:t>
      </w:r>
    </w:p>
    <w:p w14:paraId="32E5CF61" w14:textId="69080009" w:rsidR="005C6D23" w:rsidRPr="008F2304" w:rsidRDefault="00F12CE0" w:rsidP="00314962">
      <w:pPr>
        <w:ind w:left="934" w:firstLine="506"/>
        <w:rPr>
          <w:rtl/>
        </w:rPr>
      </w:pPr>
      <w:r w:rsidRPr="008F2304">
        <w:tab/>
      </w:r>
      <w:r w:rsidR="005C6D23" w:rsidRPr="008F2304">
        <w:rPr>
          <w:rFonts w:hint="cs"/>
          <w:rtl/>
        </w:rPr>
        <w:t xml:space="preserve">מרחוב </w:t>
      </w:r>
      <w:r w:rsidR="00314962">
        <w:rPr>
          <w:rFonts w:hint="cs"/>
          <w:rtl/>
        </w:rPr>
        <w:t>אבא הלל 7, רמת גן</w:t>
      </w:r>
    </w:p>
    <w:p w14:paraId="35519CD3" w14:textId="05E56DD0" w:rsidR="005C6D23" w:rsidRDefault="005C6D23" w:rsidP="00314962">
      <w:pPr>
        <w:ind w:left="934"/>
        <w:rPr>
          <w:rtl/>
        </w:rPr>
      </w:pPr>
      <w:r w:rsidRPr="008F2304">
        <w:rPr>
          <w:rFonts w:hint="cs"/>
          <w:rtl/>
        </w:rPr>
        <w:tab/>
      </w:r>
      <w:r w:rsidRPr="008F2304">
        <w:rPr>
          <w:rFonts w:hint="cs"/>
          <w:rtl/>
        </w:rPr>
        <w:tab/>
        <w:t xml:space="preserve">טל':  </w:t>
      </w:r>
      <w:r w:rsidR="00314962">
        <w:rPr>
          <w:rFonts w:hint="cs"/>
          <w:rtl/>
        </w:rPr>
        <w:t>03-7412358</w:t>
      </w:r>
      <w:r w:rsidRPr="008F2304">
        <w:rPr>
          <w:rFonts w:hint="cs"/>
          <w:rtl/>
        </w:rPr>
        <w:t xml:space="preserve">, פקס:  </w:t>
      </w:r>
      <w:r w:rsidR="00314962">
        <w:rPr>
          <w:rFonts w:hint="cs"/>
          <w:rtl/>
        </w:rPr>
        <w:t>077-3180983</w:t>
      </w:r>
    </w:p>
    <w:p w14:paraId="3DABDC9E" w14:textId="3E118ACC" w:rsidR="008627AF" w:rsidRPr="008627AF" w:rsidRDefault="008627AF" w:rsidP="00314962">
      <w:pPr>
        <w:ind w:left="934"/>
        <w:rPr>
          <w:rtl/>
        </w:rPr>
      </w:pPr>
      <w:r>
        <w:rPr>
          <w:rtl/>
        </w:rPr>
        <w:tab/>
      </w:r>
      <w:r>
        <w:rPr>
          <w:rtl/>
        </w:rPr>
        <w:tab/>
      </w:r>
      <w:hyperlink r:id="rId8" w:history="1">
        <w:r w:rsidRPr="008627AF">
          <w:rPr>
            <w:rStyle w:val="Hyperlink"/>
            <w:color w:val="auto"/>
            <w:u w:val="none"/>
          </w:rPr>
          <w:t>Office@freiberg-law.com</w:t>
        </w:r>
      </w:hyperlink>
    </w:p>
    <w:p w14:paraId="16FA0ECD" w14:textId="77777777" w:rsidR="00F12CE0" w:rsidRDefault="00F12CE0" w:rsidP="005C6D23">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p>
    <w:p w14:paraId="12169CE3" w14:textId="77777777" w:rsidR="008F2304" w:rsidRPr="008F2304" w:rsidRDefault="008F2304" w:rsidP="008F2304">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Pr>
      </w:pPr>
    </w:p>
    <w:p w14:paraId="369FAF5C" w14:textId="5B839344" w:rsidR="00F12CE0" w:rsidRPr="0040496B" w:rsidRDefault="005C6D23" w:rsidP="0040496B">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rPr>
          <w:rFonts w:cs="David"/>
          <w:rtl/>
        </w:rPr>
      </w:pPr>
      <w:r w:rsidRPr="008F2304">
        <w:rPr>
          <w:rFonts w:ascii="QDavid" w:cs="David" w:hint="cs"/>
          <w:b/>
          <w:bCs/>
          <w:rtl/>
        </w:rPr>
        <w:tab/>
      </w:r>
      <w:r w:rsidRPr="008F2304">
        <w:rPr>
          <w:rFonts w:ascii="QDavid" w:cs="David" w:hint="cs"/>
          <w:b/>
          <w:bCs/>
          <w:rtl/>
        </w:rPr>
        <w:tab/>
      </w:r>
      <w:r w:rsidRPr="008F2304">
        <w:rPr>
          <w:rFonts w:ascii="QDavid" w:cs="David" w:hint="cs"/>
          <w:b/>
          <w:bCs/>
          <w:rtl/>
        </w:rPr>
        <w:tab/>
      </w:r>
      <w:r w:rsidRPr="008F2304">
        <w:rPr>
          <w:rFonts w:ascii="QDavid" w:cs="David" w:hint="cs"/>
          <w:b/>
          <w:bCs/>
          <w:rtl/>
        </w:rPr>
        <w:tab/>
      </w:r>
      <w:r w:rsidR="00F12CE0" w:rsidRPr="008F2304">
        <w:rPr>
          <w:rFonts w:ascii="QDavid" w:cs="David" w:hint="cs"/>
          <w:b/>
          <w:bCs/>
          <w:rtl/>
        </w:rPr>
        <w:t xml:space="preserve">-  </w:t>
      </w:r>
      <w:r w:rsidR="00F12CE0" w:rsidRPr="008F2304">
        <w:rPr>
          <w:rFonts w:cs="David" w:hint="cs"/>
          <w:b/>
          <w:bCs/>
          <w:rtl/>
        </w:rPr>
        <w:t xml:space="preserve"> </w:t>
      </w:r>
      <w:r w:rsidR="00F12CE0" w:rsidRPr="008F2304">
        <w:rPr>
          <w:rFonts w:cs="David"/>
          <w:b/>
          <w:bCs/>
          <w:rtl/>
        </w:rPr>
        <w:t>נ</w:t>
      </w:r>
      <w:r w:rsidR="00F12CE0" w:rsidRPr="008F2304">
        <w:rPr>
          <w:rFonts w:cs="David" w:hint="cs"/>
          <w:b/>
          <w:bCs/>
          <w:rtl/>
        </w:rPr>
        <w:t xml:space="preserve"> </w:t>
      </w:r>
      <w:r w:rsidR="00F12CE0" w:rsidRPr="008F2304">
        <w:rPr>
          <w:rFonts w:cs="David"/>
          <w:b/>
          <w:bCs/>
          <w:rtl/>
        </w:rPr>
        <w:t xml:space="preserve"> ג</w:t>
      </w:r>
      <w:r w:rsidR="00F12CE0" w:rsidRPr="008F2304">
        <w:rPr>
          <w:rFonts w:cs="David" w:hint="cs"/>
          <w:b/>
          <w:bCs/>
          <w:rtl/>
        </w:rPr>
        <w:t xml:space="preserve"> </w:t>
      </w:r>
      <w:r w:rsidR="00F12CE0" w:rsidRPr="008F2304">
        <w:rPr>
          <w:rFonts w:cs="David"/>
          <w:b/>
          <w:bCs/>
          <w:rtl/>
        </w:rPr>
        <w:t xml:space="preserve"> ד</w:t>
      </w:r>
      <w:r w:rsidR="00F12CE0" w:rsidRPr="008F2304">
        <w:rPr>
          <w:rFonts w:cs="David" w:hint="cs"/>
          <w:b/>
          <w:bCs/>
          <w:rtl/>
        </w:rPr>
        <w:t xml:space="preserve">  -</w:t>
      </w:r>
    </w:p>
    <w:p w14:paraId="27173E3E" w14:textId="77777777" w:rsidR="008F2304" w:rsidRPr="008F2304" w:rsidRDefault="008F2304" w:rsidP="008F2304">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Pr>
      </w:pPr>
    </w:p>
    <w:p w14:paraId="015ACB90" w14:textId="60068F36" w:rsidR="00371D4B" w:rsidRDefault="00F12CE0" w:rsidP="0040496B">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b/>
          <w:bCs/>
          <w:rtl/>
        </w:rPr>
      </w:pPr>
      <w:r w:rsidRPr="008F2304">
        <w:rPr>
          <w:rFonts w:cs="David"/>
          <w:b/>
          <w:bCs/>
          <w:rtl/>
        </w:rPr>
        <w:t>ה</w:t>
      </w:r>
      <w:r w:rsidR="00D83021" w:rsidRPr="008F2304">
        <w:rPr>
          <w:rFonts w:cs="David" w:hint="cs"/>
          <w:b/>
          <w:bCs/>
          <w:rtl/>
        </w:rPr>
        <w:t>משיב</w:t>
      </w:r>
      <w:r w:rsidR="008F2304">
        <w:rPr>
          <w:rFonts w:cs="David" w:hint="cs"/>
          <w:b/>
          <w:bCs/>
          <w:rtl/>
        </w:rPr>
        <w:t>:</w:t>
      </w:r>
      <w:r w:rsidR="005C6D23" w:rsidRPr="008F2304">
        <w:rPr>
          <w:rFonts w:cs="David" w:hint="cs"/>
          <w:b/>
          <w:bCs/>
          <w:rtl/>
        </w:rPr>
        <w:tab/>
      </w:r>
      <w:r w:rsidR="005C6D23" w:rsidRPr="008F2304">
        <w:rPr>
          <w:rFonts w:cs="David" w:hint="cs"/>
          <w:b/>
          <w:bCs/>
          <w:rtl/>
        </w:rPr>
        <w:tab/>
      </w:r>
      <w:r w:rsidR="00BD710C" w:rsidRPr="008F2304">
        <w:rPr>
          <w:rFonts w:cs="David" w:hint="cs"/>
          <w:b/>
          <w:bCs/>
          <w:sz w:val="26"/>
          <w:szCs w:val="26"/>
          <w:rtl/>
        </w:rPr>
        <w:t xml:space="preserve">משרד הביטחון </w:t>
      </w:r>
      <w:r w:rsidR="00584C7D">
        <w:rPr>
          <w:rFonts w:cs="David"/>
          <w:b/>
          <w:bCs/>
          <w:sz w:val="26"/>
          <w:szCs w:val="26"/>
          <w:rtl/>
        </w:rPr>
        <w:t>–</w:t>
      </w:r>
      <w:r w:rsidR="00CC0CE4">
        <w:rPr>
          <w:rFonts w:cs="David" w:hint="cs"/>
          <w:b/>
          <w:bCs/>
          <w:sz w:val="26"/>
          <w:szCs w:val="26"/>
          <w:rtl/>
        </w:rPr>
        <w:t xml:space="preserve"> </w:t>
      </w:r>
      <w:r w:rsidR="00BD710C" w:rsidRPr="008F2304">
        <w:rPr>
          <w:rFonts w:cs="David" w:hint="cs"/>
          <w:b/>
          <w:bCs/>
          <w:sz w:val="26"/>
          <w:szCs w:val="26"/>
          <w:rtl/>
        </w:rPr>
        <w:t xml:space="preserve">קצין התגמולים </w:t>
      </w:r>
    </w:p>
    <w:p w14:paraId="76B0E8CD" w14:textId="59D62B5C" w:rsidR="004536ED" w:rsidRPr="00E21F57" w:rsidRDefault="004536ED" w:rsidP="004536ED">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jc w:val="both"/>
        <w:rPr>
          <w:rFonts w:cs="David"/>
          <w:rtl/>
        </w:rPr>
      </w:pPr>
      <w:r>
        <w:rPr>
          <w:rFonts w:cs="David"/>
          <w:b/>
          <w:bCs/>
          <w:rtl/>
        </w:rPr>
        <w:tab/>
      </w:r>
      <w:r>
        <w:rPr>
          <w:rFonts w:cs="David"/>
          <w:b/>
          <w:bCs/>
          <w:rtl/>
        </w:rPr>
        <w:tab/>
      </w:r>
      <w:r>
        <w:rPr>
          <w:rFonts w:cs="David"/>
          <w:b/>
          <w:bCs/>
          <w:rtl/>
        </w:rPr>
        <w:tab/>
      </w:r>
      <w:r w:rsidRPr="00E21F57">
        <w:rPr>
          <w:rFonts w:cs="David" w:hint="cs"/>
          <w:rtl/>
        </w:rPr>
        <w:t xml:space="preserve">באמצעות פרקליטות מחוז ת"א </w:t>
      </w:r>
      <w:r w:rsidR="00E21F57" w:rsidRPr="00E21F57">
        <w:rPr>
          <w:rFonts w:cs="David"/>
          <w:rtl/>
        </w:rPr>
        <w:t>–</w:t>
      </w:r>
      <w:r w:rsidRPr="00E21F57">
        <w:rPr>
          <w:rFonts w:cs="David" w:hint="cs"/>
          <w:rtl/>
        </w:rPr>
        <w:t xml:space="preserve"> אזרחי</w:t>
      </w:r>
    </w:p>
    <w:p w14:paraId="42AE7972" w14:textId="5C93FAFA" w:rsidR="00E21F57" w:rsidRPr="00E21F57" w:rsidRDefault="00E21F57" w:rsidP="00E21F5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2160"/>
        <w:jc w:val="both"/>
        <w:rPr>
          <w:rFonts w:cs="David"/>
          <w:rtl/>
        </w:rPr>
      </w:pPr>
      <w:r w:rsidRPr="00E21F57">
        <w:rPr>
          <w:rFonts w:cs="David" w:hint="cs"/>
          <w:rtl/>
        </w:rPr>
        <w:t>בית קרדן, דרך מנחם בגין 154, תל אביב</w:t>
      </w:r>
    </w:p>
    <w:p w14:paraId="34103265" w14:textId="78322924" w:rsidR="00E21F57" w:rsidRPr="00E21F57" w:rsidRDefault="00E21F57" w:rsidP="00E21F57">
      <w:pPr>
        <w:pStyle w:v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ind w:left="2160"/>
        <w:jc w:val="both"/>
        <w:rPr>
          <w:rFonts w:cs="David"/>
          <w:rtl/>
        </w:rPr>
      </w:pPr>
      <w:r w:rsidRPr="00E21F57">
        <w:rPr>
          <w:rFonts w:cs="David" w:hint="cs"/>
          <w:rtl/>
        </w:rPr>
        <w:t>טל': 073-3924888;פקס: 02-6468005</w:t>
      </w:r>
    </w:p>
    <w:p w14:paraId="13400119" w14:textId="77777777" w:rsidR="00F12CE0" w:rsidRPr="008F2304" w:rsidRDefault="00F12CE0" w:rsidP="000F100D">
      <w:pPr>
        <w:jc w:val="both"/>
        <w:rPr>
          <w:rtl/>
        </w:rPr>
      </w:pPr>
    </w:p>
    <w:p w14:paraId="1976CEE3" w14:textId="77777777" w:rsidR="00B9646F" w:rsidRPr="008F2304" w:rsidRDefault="00B9646F" w:rsidP="005C6D23">
      <w:pPr>
        <w:ind w:left="2160" w:firstLine="720"/>
        <w:rPr>
          <w:sz w:val="38"/>
          <w:szCs w:val="38"/>
        </w:rPr>
      </w:pPr>
      <w:r w:rsidRPr="008F2304">
        <w:rPr>
          <w:b/>
          <w:bCs/>
          <w:sz w:val="38"/>
          <w:szCs w:val="38"/>
          <w:u w:val="single"/>
          <w:rtl/>
        </w:rPr>
        <w:t xml:space="preserve">כתב ערעור </w:t>
      </w:r>
    </w:p>
    <w:p w14:paraId="7DEB9F48" w14:textId="77777777" w:rsidR="00B9646F" w:rsidRPr="008F2304" w:rsidRDefault="00B9646F" w:rsidP="00B9646F"/>
    <w:p w14:paraId="587AAC4D" w14:textId="3A87F8C3" w:rsidR="008F0BAF" w:rsidRDefault="008F0BAF" w:rsidP="008F0BAF">
      <w:pPr>
        <w:jc w:val="both"/>
        <w:rPr>
          <w:sz w:val="26"/>
          <w:szCs w:val="26"/>
          <w:rtl/>
        </w:rPr>
      </w:pPr>
      <w:r>
        <w:rPr>
          <w:rFonts w:hint="cs"/>
          <w:sz w:val="26"/>
          <w:szCs w:val="26"/>
          <w:rtl/>
        </w:rPr>
        <w:t>בזיקה להחלטת הוועדה הנכבדה מיום 2.5.2024 ולכתב הערעור שהוגש ביום 17.4.24 מתכבדת המערערת להגיש  כתב ערעור מתוקן</w:t>
      </w:r>
      <w:r w:rsidR="000F30C6">
        <w:rPr>
          <w:rFonts w:hint="cs"/>
          <w:sz w:val="26"/>
          <w:szCs w:val="26"/>
          <w:rtl/>
        </w:rPr>
        <w:t xml:space="preserve"> ומנומק</w:t>
      </w:r>
      <w:r>
        <w:rPr>
          <w:rFonts w:hint="cs"/>
          <w:sz w:val="26"/>
          <w:szCs w:val="26"/>
          <w:rtl/>
        </w:rPr>
        <w:t xml:space="preserve"> בצירוף חוות דעת רפואית.</w:t>
      </w:r>
    </w:p>
    <w:p w14:paraId="2FFE0EA4" w14:textId="77777777" w:rsidR="008F0BAF" w:rsidRDefault="008F0BAF" w:rsidP="003B0DF0">
      <w:pPr>
        <w:jc w:val="both"/>
        <w:rPr>
          <w:sz w:val="26"/>
          <w:szCs w:val="26"/>
          <w:rtl/>
        </w:rPr>
      </w:pPr>
    </w:p>
    <w:p w14:paraId="7113CF1F" w14:textId="77777777" w:rsidR="000F30C6" w:rsidRDefault="000F30C6" w:rsidP="000F30C6">
      <w:pPr>
        <w:jc w:val="both"/>
        <w:rPr>
          <w:sz w:val="26"/>
          <w:szCs w:val="26"/>
          <w:rtl/>
        </w:rPr>
      </w:pPr>
      <w:r w:rsidRPr="000F30C6">
        <w:rPr>
          <w:rFonts w:hint="cs"/>
          <w:sz w:val="26"/>
          <w:szCs w:val="26"/>
          <w:rtl/>
        </w:rPr>
        <w:t>רצ"ב חוות דעת המומחה מטעמה של המערערת, מסומנת "</w:t>
      </w:r>
      <w:r w:rsidRPr="000F30C6">
        <w:rPr>
          <w:rFonts w:hint="cs"/>
          <w:b/>
          <w:bCs/>
          <w:sz w:val="26"/>
          <w:szCs w:val="26"/>
          <w:rtl/>
        </w:rPr>
        <w:t>כנספח 1</w:t>
      </w:r>
      <w:r w:rsidRPr="000F30C6">
        <w:rPr>
          <w:rFonts w:hint="cs"/>
          <w:sz w:val="26"/>
          <w:szCs w:val="26"/>
          <w:rtl/>
        </w:rPr>
        <w:t>".</w:t>
      </w:r>
    </w:p>
    <w:p w14:paraId="5156AB0B" w14:textId="77777777" w:rsidR="000F30C6" w:rsidRPr="000F30C6" w:rsidRDefault="000F30C6" w:rsidP="000F30C6">
      <w:pPr>
        <w:jc w:val="both"/>
        <w:rPr>
          <w:sz w:val="26"/>
          <w:szCs w:val="26"/>
        </w:rPr>
      </w:pPr>
    </w:p>
    <w:p w14:paraId="57D2402F" w14:textId="0C925953" w:rsidR="005C6D23" w:rsidRDefault="004E5D2F" w:rsidP="00BC512C">
      <w:pPr>
        <w:jc w:val="both"/>
        <w:rPr>
          <w:sz w:val="26"/>
          <w:szCs w:val="26"/>
          <w:rtl/>
        </w:rPr>
      </w:pPr>
      <w:r>
        <w:rPr>
          <w:rFonts w:hint="cs"/>
          <w:sz w:val="26"/>
          <w:szCs w:val="26"/>
          <w:rtl/>
        </w:rPr>
        <w:t>ר</w:t>
      </w:r>
      <w:r w:rsidR="005C6D23" w:rsidRPr="00835E2C">
        <w:rPr>
          <w:sz w:val="26"/>
          <w:szCs w:val="26"/>
          <w:rtl/>
        </w:rPr>
        <w:t xml:space="preserve">צ"ב </w:t>
      </w:r>
      <w:r w:rsidR="008F0BAF">
        <w:rPr>
          <w:rFonts w:hint="cs"/>
          <w:sz w:val="26"/>
          <w:szCs w:val="26"/>
          <w:rtl/>
        </w:rPr>
        <w:t xml:space="preserve">כתב הערעור על נספחיו, לרבות, התיעוד הרפואי, </w:t>
      </w:r>
      <w:r w:rsidR="005C6D23" w:rsidRPr="00835E2C">
        <w:rPr>
          <w:sz w:val="26"/>
          <w:szCs w:val="26"/>
          <w:rtl/>
        </w:rPr>
        <w:t xml:space="preserve">החלטת </w:t>
      </w:r>
      <w:r w:rsidR="005C6D23" w:rsidRPr="000F685F">
        <w:rPr>
          <w:sz w:val="26"/>
          <w:szCs w:val="26"/>
          <w:rtl/>
        </w:rPr>
        <w:t>קצין התגמולים,</w:t>
      </w:r>
      <w:r w:rsidR="008F0BAF">
        <w:rPr>
          <w:rFonts w:hint="cs"/>
          <w:sz w:val="26"/>
          <w:szCs w:val="26"/>
          <w:rtl/>
        </w:rPr>
        <w:t xml:space="preserve"> חוות דעת המומחית מטעמו של המשיב </w:t>
      </w:r>
      <w:r w:rsidR="005C6D23" w:rsidRPr="000F685F">
        <w:rPr>
          <w:sz w:val="26"/>
          <w:szCs w:val="26"/>
          <w:rtl/>
        </w:rPr>
        <w:t xml:space="preserve"> </w:t>
      </w:r>
      <w:r w:rsidR="00725268" w:rsidRPr="000F685F">
        <w:rPr>
          <w:rFonts w:hint="cs"/>
          <w:sz w:val="26"/>
          <w:szCs w:val="26"/>
          <w:rtl/>
        </w:rPr>
        <w:t>מסומנ</w:t>
      </w:r>
      <w:r w:rsidR="008F0BAF">
        <w:rPr>
          <w:rFonts w:hint="cs"/>
          <w:sz w:val="26"/>
          <w:szCs w:val="26"/>
          <w:rtl/>
        </w:rPr>
        <w:t>ים</w:t>
      </w:r>
      <w:r w:rsidR="00725268" w:rsidRPr="00835E2C">
        <w:rPr>
          <w:rFonts w:hint="cs"/>
          <w:sz w:val="26"/>
          <w:szCs w:val="26"/>
          <w:rtl/>
        </w:rPr>
        <w:t xml:space="preserve"> </w:t>
      </w:r>
      <w:r w:rsidR="005C6D23" w:rsidRPr="00835E2C">
        <w:rPr>
          <w:sz w:val="26"/>
          <w:szCs w:val="26"/>
          <w:rtl/>
        </w:rPr>
        <w:t xml:space="preserve"> </w:t>
      </w:r>
      <w:r w:rsidR="00BC512C">
        <w:rPr>
          <w:rFonts w:hint="cs"/>
          <w:sz w:val="26"/>
          <w:szCs w:val="26"/>
          <w:rtl/>
        </w:rPr>
        <w:t>"</w:t>
      </w:r>
      <w:r w:rsidR="00E21F57">
        <w:rPr>
          <w:rFonts w:hint="cs"/>
          <w:b/>
          <w:bCs/>
          <w:sz w:val="26"/>
          <w:szCs w:val="26"/>
          <w:rtl/>
        </w:rPr>
        <w:t>כנספח</w:t>
      </w:r>
      <w:r w:rsidR="000F30C6">
        <w:rPr>
          <w:rFonts w:hint="cs"/>
          <w:b/>
          <w:bCs/>
          <w:sz w:val="26"/>
          <w:szCs w:val="26"/>
          <w:rtl/>
        </w:rPr>
        <w:t xml:space="preserve"> 2</w:t>
      </w:r>
      <w:r w:rsidR="00BC512C">
        <w:rPr>
          <w:rFonts w:hint="cs"/>
          <w:sz w:val="26"/>
          <w:szCs w:val="26"/>
          <w:rtl/>
        </w:rPr>
        <w:t>"</w:t>
      </w:r>
      <w:r w:rsidR="008F0BAF">
        <w:rPr>
          <w:rFonts w:hint="cs"/>
          <w:sz w:val="26"/>
          <w:szCs w:val="26"/>
          <w:rtl/>
        </w:rPr>
        <w:t>.</w:t>
      </w:r>
    </w:p>
    <w:p w14:paraId="115D0FB2" w14:textId="77777777" w:rsidR="0028150B" w:rsidRDefault="0028150B" w:rsidP="00BC512C">
      <w:pPr>
        <w:jc w:val="both"/>
        <w:rPr>
          <w:sz w:val="26"/>
          <w:szCs w:val="26"/>
          <w:rtl/>
        </w:rPr>
      </w:pPr>
    </w:p>
    <w:p w14:paraId="06395E58" w14:textId="77777777" w:rsidR="0028150B" w:rsidRDefault="0028150B" w:rsidP="0028150B">
      <w:pPr>
        <w:jc w:val="both"/>
        <w:rPr>
          <w:sz w:val="26"/>
          <w:szCs w:val="26"/>
          <w:rtl/>
        </w:rPr>
      </w:pPr>
      <w:r w:rsidRPr="0028150B">
        <w:rPr>
          <w:sz w:val="26"/>
          <w:szCs w:val="26"/>
          <w:rtl/>
        </w:rPr>
        <w:t>הועדה הנכבדה מתבקשת לקבל את הערעור ולקבוע כי המחלה נגרמה כתוצאה מהשירות הצבאי, ולחלופין בלבד, לקבוע כי הוחמרה היא כתוצאה מהשירות הצבאי, כאשר שיעור ההחמרה הוא בשיעור הקרוב ל-</w:t>
      </w:r>
      <w:r w:rsidRPr="0028150B">
        <w:rPr>
          <w:sz w:val="26"/>
          <w:szCs w:val="26"/>
        </w:rPr>
        <w:t>100%</w:t>
      </w:r>
      <w:r w:rsidRPr="0028150B">
        <w:rPr>
          <w:sz w:val="26"/>
          <w:szCs w:val="26"/>
          <w:rtl/>
        </w:rPr>
        <w:t xml:space="preserve"> או כל שיעור אחר כפי שייקבע על ידי הועדה הנכבדה.</w:t>
      </w:r>
    </w:p>
    <w:p w14:paraId="55E6FFD4" w14:textId="77777777" w:rsidR="0028150B" w:rsidRPr="0028150B" w:rsidRDefault="0028150B" w:rsidP="0028150B">
      <w:pPr>
        <w:jc w:val="both"/>
        <w:rPr>
          <w:sz w:val="26"/>
          <w:szCs w:val="26"/>
          <w:lang/>
        </w:rPr>
      </w:pPr>
    </w:p>
    <w:p w14:paraId="61E511AF" w14:textId="77777777" w:rsidR="0028150B" w:rsidRPr="0028150B" w:rsidRDefault="0028150B" w:rsidP="0028150B">
      <w:pPr>
        <w:jc w:val="both"/>
        <w:rPr>
          <w:sz w:val="26"/>
          <w:szCs w:val="26"/>
          <w:lang/>
        </w:rPr>
      </w:pPr>
      <w:r w:rsidRPr="0028150B">
        <w:rPr>
          <w:sz w:val="26"/>
          <w:szCs w:val="26"/>
          <w:rtl/>
        </w:rPr>
        <w:t>כמו כן מתבקשת הועדה הנכבדה לחייב את המשיב בהוצאות הערעור, שכר טרחת עו״ד ומע״מ, הכל בתוספת הפרשי הצמדה וריבית מרבית כדין עד לתשלום המלא בפועל.</w:t>
      </w:r>
    </w:p>
    <w:p w14:paraId="5AA3BCA4" w14:textId="77777777" w:rsidR="0028150B" w:rsidRPr="0028150B" w:rsidRDefault="0028150B" w:rsidP="00BC512C">
      <w:pPr>
        <w:jc w:val="both"/>
        <w:rPr>
          <w:sz w:val="26"/>
          <w:szCs w:val="26"/>
          <w:rtl/>
          <w:lang/>
        </w:rPr>
      </w:pPr>
    </w:p>
    <w:p w14:paraId="5CADAA26" w14:textId="77777777" w:rsidR="00AA1191" w:rsidRDefault="00AA1191" w:rsidP="00AA1191">
      <w:pPr>
        <w:ind w:left="-52"/>
        <w:jc w:val="both"/>
        <w:rPr>
          <w:sz w:val="26"/>
          <w:szCs w:val="26"/>
        </w:rPr>
      </w:pPr>
    </w:p>
    <w:p w14:paraId="4736E696" w14:textId="77777777" w:rsidR="00A9654B" w:rsidRPr="00BC512C" w:rsidRDefault="00BC512C" w:rsidP="00BC512C">
      <w:pPr>
        <w:pStyle w:val="a6"/>
        <w:numPr>
          <w:ilvl w:val="0"/>
          <w:numId w:val="12"/>
        </w:numPr>
        <w:ind w:left="-52" w:hanging="283"/>
        <w:jc w:val="both"/>
        <w:rPr>
          <w:b/>
          <w:bCs/>
          <w:sz w:val="26"/>
          <w:szCs w:val="26"/>
          <w:u w:val="single"/>
          <w:rtl/>
        </w:rPr>
      </w:pPr>
      <w:r w:rsidRPr="00BC512C">
        <w:rPr>
          <w:rFonts w:hint="cs"/>
          <w:b/>
          <w:bCs/>
          <w:sz w:val="26"/>
          <w:szCs w:val="26"/>
          <w:u w:val="single"/>
          <w:rtl/>
        </w:rPr>
        <w:t>נימוקי הערעור</w:t>
      </w:r>
    </w:p>
    <w:p w14:paraId="2038E75B" w14:textId="77777777" w:rsidR="00BC512C" w:rsidRDefault="00BC512C" w:rsidP="00864887">
      <w:pPr>
        <w:jc w:val="both"/>
        <w:rPr>
          <w:sz w:val="26"/>
          <w:szCs w:val="26"/>
          <w:rtl/>
        </w:rPr>
      </w:pPr>
    </w:p>
    <w:p w14:paraId="42103FE3" w14:textId="514C27AE" w:rsidR="00BC512C" w:rsidRDefault="00DD6DD1" w:rsidP="00BC512C">
      <w:pPr>
        <w:pStyle w:val="a6"/>
        <w:numPr>
          <w:ilvl w:val="0"/>
          <w:numId w:val="14"/>
        </w:numPr>
        <w:ind w:left="374" w:hanging="567"/>
        <w:jc w:val="both"/>
        <w:rPr>
          <w:sz w:val="26"/>
          <w:szCs w:val="26"/>
        </w:rPr>
      </w:pPr>
      <w:r>
        <w:rPr>
          <w:rFonts w:hint="cs"/>
          <w:sz w:val="26"/>
          <w:szCs w:val="26"/>
          <w:rtl/>
        </w:rPr>
        <w:t xml:space="preserve">המערערת </w:t>
      </w:r>
      <w:r w:rsidR="008F0BAF">
        <w:rPr>
          <w:rFonts w:hint="cs"/>
          <w:sz w:val="26"/>
          <w:szCs w:val="26"/>
          <w:rtl/>
        </w:rPr>
        <w:t>התגייסה לשירות בטחון עם פרופיל 97.</w:t>
      </w:r>
    </w:p>
    <w:p w14:paraId="6DD73FC6" w14:textId="77777777" w:rsidR="00B87F0D" w:rsidRDefault="00B87F0D" w:rsidP="00B87F0D">
      <w:pPr>
        <w:pStyle w:val="a6"/>
        <w:ind w:left="374"/>
        <w:jc w:val="both"/>
        <w:rPr>
          <w:sz w:val="26"/>
          <w:szCs w:val="26"/>
        </w:rPr>
      </w:pPr>
    </w:p>
    <w:p w14:paraId="4B67A3A0" w14:textId="78BBD7A7" w:rsidR="00A21141" w:rsidRDefault="008F0BAF" w:rsidP="008F0BAF">
      <w:pPr>
        <w:pStyle w:val="a6"/>
        <w:numPr>
          <w:ilvl w:val="0"/>
          <w:numId w:val="14"/>
        </w:numPr>
        <w:ind w:left="374" w:hanging="567"/>
        <w:jc w:val="both"/>
        <w:rPr>
          <w:sz w:val="26"/>
          <w:szCs w:val="26"/>
        </w:rPr>
      </w:pPr>
      <w:r>
        <w:rPr>
          <w:rFonts w:hint="cs"/>
          <w:sz w:val="26"/>
          <w:szCs w:val="26"/>
          <w:rtl/>
        </w:rPr>
        <w:t xml:space="preserve">במסגרת שירותה הצבאי, נגזר עליה לשהות במחבוש, </w:t>
      </w:r>
      <w:r w:rsidR="000F30C6">
        <w:rPr>
          <w:rFonts w:hint="cs"/>
          <w:sz w:val="26"/>
          <w:szCs w:val="26"/>
          <w:rtl/>
        </w:rPr>
        <w:t xml:space="preserve">והיא </w:t>
      </w:r>
      <w:r>
        <w:rPr>
          <w:rFonts w:hint="cs"/>
          <w:sz w:val="26"/>
          <w:szCs w:val="26"/>
          <w:rtl/>
        </w:rPr>
        <w:t>הוצבה במתקן כליאה</w:t>
      </w:r>
      <w:r w:rsidR="0035243D">
        <w:rPr>
          <w:rFonts w:hint="cs"/>
          <w:sz w:val="26"/>
          <w:szCs w:val="26"/>
          <w:rtl/>
        </w:rPr>
        <w:t xml:space="preserve">. במהלך </w:t>
      </w:r>
      <w:r w:rsidR="000F30C6">
        <w:rPr>
          <w:rFonts w:hint="cs"/>
          <w:sz w:val="26"/>
          <w:szCs w:val="26"/>
          <w:rtl/>
        </w:rPr>
        <w:t>שהותה בכלא</w:t>
      </w:r>
      <w:r w:rsidR="0035243D">
        <w:rPr>
          <w:rFonts w:hint="cs"/>
          <w:sz w:val="26"/>
          <w:szCs w:val="26"/>
          <w:rtl/>
        </w:rPr>
        <w:t xml:space="preserve"> החלה התובעת לסבול מכאבים בכתף</w:t>
      </w:r>
      <w:r w:rsidR="000F30C6">
        <w:rPr>
          <w:rFonts w:hint="cs"/>
          <w:sz w:val="26"/>
          <w:szCs w:val="26"/>
          <w:rtl/>
        </w:rPr>
        <w:t xml:space="preserve"> והיא פנתה לקבלת טיפול רפואי.</w:t>
      </w:r>
      <w:r w:rsidR="0035243D">
        <w:rPr>
          <w:rFonts w:hint="cs"/>
          <w:sz w:val="26"/>
          <w:szCs w:val="26"/>
          <w:rtl/>
        </w:rPr>
        <w:t xml:space="preserve"> </w:t>
      </w:r>
      <w:r w:rsidR="000F30C6">
        <w:rPr>
          <w:rFonts w:hint="cs"/>
          <w:sz w:val="26"/>
          <w:szCs w:val="26"/>
          <w:rtl/>
        </w:rPr>
        <w:t xml:space="preserve">שם, ניתן לה </w:t>
      </w:r>
      <w:r w:rsidR="0035243D">
        <w:rPr>
          <w:rFonts w:hint="cs"/>
          <w:sz w:val="26"/>
          <w:szCs w:val="26"/>
          <w:rtl/>
        </w:rPr>
        <w:t xml:space="preserve">טיפול פומי של כדורים לשיכוך כאב </w:t>
      </w:r>
      <w:r w:rsidR="00A72ED3">
        <w:rPr>
          <w:rFonts w:hint="cs"/>
          <w:sz w:val="26"/>
          <w:szCs w:val="26"/>
          <w:rtl/>
        </w:rPr>
        <w:t>בנוסף ל</w:t>
      </w:r>
      <w:r w:rsidR="0035243D">
        <w:rPr>
          <w:rFonts w:hint="cs"/>
          <w:sz w:val="26"/>
          <w:szCs w:val="26"/>
          <w:rtl/>
        </w:rPr>
        <w:t>זריקת וולטרן.</w:t>
      </w:r>
    </w:p>
    <w:p w14:paraId="22592A25" w14:textId="77777777" w:rsidR="00F109B3" w:rsidRPr="00F109B3" w:rsidRDefault="00F109B3" w:rsidP="00F109B3">
      <w:pPr>
        <w:pStyle w:val="a6"/>
        <w:rPr>
          <w:sz w:val="26"/>
          <w:szCs w:val="26"/>
          <w:rtl/>
        </w:rPr>
      </w:pPr>
    </w:p>
    <w:p w14:paraId="5CA43384" w14:textId="1BE3654E" w:rsidR="00F109B3" w:rsidRDefault="00F109B3" w:rsidP="008F0BAF">
      <w:pPr>
        <w:pStyle w:val="a6"/>
        <w:numPr>
          <w:ilvl w:val="0"/>
          <w:numId w:val="14"/>
        </w:numPr>
        <w:ind w:left="374" w:hanging="567"/>
        <w:jc w:val="both"/>
        <w:rPr>
          <w:sz w:val="26"/>
          <w:szCs w:val="26"/>
        </w:rPr>
      </w:pPr>
      <w:r>
        <w:rPr>
          <w:rFonts w:hint="cs"/>
          <w:sz w:val="26"/>
          <w:szCs w:val="26"/>
          <w:rtl/>
        </w:rPr>
        <w:lastRenderedPageBreak/>
        <w:t>המערערת אשר ההמשיכה לסבול מכאבים והגבלה בתנועות הכתף, כמו גם צינון וחולשה פנתה בהזדמנויות נוספות לקבלת טיפול רפואי וניתנו לה משככי כאבים נוספים וזריקת וולטרן נוספת.</w:t>
      </w:r>
    </w:p>
    <w:p w14:paraId="1FDE108B" w14:textId="77777777" w:rsidR="00162D4E" w:rsidRPr="00162D4E" w:rsidRDefault="00162D4E" w:rsidP="00162D4E">
      <w:pPr>
        <w:pStyle w:val="a6"/>
        <w:rPr>
          <w:sz w:val="26"/>
          <w:szCs w:val="26"/>
          <w:rtl/>
        </w:rPr>
      </w:pPr>
    </w:p>
    <w:p w14:paraId="13F457EE" w14:textId="194E9901" w:rsidR="00162D4E" w:rsidRDefault="00162D4E" w:rsidP="008F0BAF">
      <w:pPr>
        <w:pStyle w:val="a6"/>
        <w:numPr>
          <w:ilvl w:val="0"/>
          <w:numId w:val="14"/>
        </w:numPr>
        <w:ind w:left="374" w:hanging="567"/>
        <w:jc w:val="both"/>
        <w:rPr>
          <w:sz w:val="26"/>
          <w:szCs w:val="26"/>
        </w:rPr>
      </w:pPr>
      <w:r>
        <w:rPr>
          <w:rFonts w:hint="cs"/>
          <w:sz w:val="26"/>
          <w:szCs w:val="26"/>
          <w:rtl/>
        </w:rPr>
        <w:t xml:space="preserve">ד"ר עודד וולבלסקי, מומחה בנפרולוגיה, </w:t>
      </w:r>
      <w:r w:rsidR="00DF7F49">
        <w:rPr>
          <w:rFonts w:hint="cs"/>
          <w:sz w:val="26"/>
          <w:szCs w:val="26"/>
          <w:rtl/>
        </w:rPr>
        <w:t xml:space="preserve">ר' היחידה לנפרולוגיית ילדים במרכז הרפואי הדסה, בירושלים, ומנהל שותף ומייסד המרפאה הרב תחומית למחלת </w:t>
      </w:r>
      <w:r w:rsidR="00DF7F49">
        <w:rPr>
          <w:sz w:val="26"/>
          <w:szCs w:val="26"/>
        </w:rPr>
        <w:t>TSC</w:t>
      </w:r>
      <w:r w:rsidR="00DF7F49">
        <w:rPr>
          <w:rFonts w:hint="cs"/>
          <w:sz w:val="26"/>
          <w:szCs w:val="26"/>
          <w:rtl/>
        </w:rPr>
        <w:t xml:space="preserve"> במרכז הרפואי הדסה, בירושלים</w:t>
      </w:r>
      <w:r w:rsidR="00A72ED3">
        <w:rPr>
          <w:rFonts w:hint="cs"/>
          <w:sz w:val="26"/>
          <w:szCs w:val="26"/>
          <w:rtl/>
        </w:rPr>
        <w:t xml:space="preserve"> (להלן:"</w:t>
      </w:r>
      <w:r w:rsidR="00A72ED3">
        <w:rPr>
          <w:rFonts w:hint="cs"/>
          <w:b/>
          <w:bCs/>
          <w:sz w:val="26"/>
          <w:szCs w:val="26"/>
          <w:rtl/>
        </w:rPr>
        <w:t>המומחה מטעמה של המערערת</w:t>
      </w:r>
      <w:r w:rsidR="00A72ED3">
        <w:rPr>
          <w:rFonts w:hint="cs"/>
          <w:sz w:val="26"/>
          <w:szCs w:val="26"/>
          <w:rtl/>
        </w:rPr>
        <w:t>"),</w:t>
      </w:r>
      <w:r w:rsidR="00DF7F49">
        <w:rPr>
          <w:rFonts w:hint="cs"/>
          <w:sz w:val="26"/>
          <w:szCs w:val="26"/>
          <w:rtl/>
        </w:rPr>
        <w:t xml:space="preserve"> </w:t>
      </w:r>
      <w:r>
        <w:rPr>
          <w:rFonts w:hint="cs"/>
          <w:sz w:val="26"/>
          <w:szCs w:val="26"/>
          <w:rtl/>
        </w:rPr>
        <w:t>אשר נתן חוות דעתו בעניינה של המערערת קובע בנוגע לטיפול שניתן למערערת כדלקמן:</w:t>
      </w:r>
    </w:p>
    <w:p w14:paraId="4377C1E4" w14:textId="77777777" w:rsidR="00162D4E" w:rsidRDefault="00162D4E" w:rsidP="00162D4E">
      <w:pPr>
        <w:pStyle w:val="a6"/>
        <w:rPr>
          <w:sz w:val="26"/>
          <w:szCs w:val="26"/>
          <w:rtl/>
        </w:rPr>
      </w:pPr>
    </w:p>
    <w:p w14:paraId="1F292734" w14:textId="64CCF35C" w:rsidR="00954E66" w:rsidRDefault="00A72ED3" w:rsidP="000F30C6">
      <w:pPr>
        <w:pStyle w:val="a6"/>
        <w:spacing w:line="360" w:lineRule="auto"/>
        <w:ind w:right="992"/>
        <w:jc w:val="both"/>
        <w:rPr>
          <w:sz w:val="26"/>
          <w:szCs w:val="26"/>
          <w:rtl/>
        </w:rPr>
      </w:pPr>
      <w:r>
        <w:rPr>
          <w:rFonts w:hint="cs"/>
          <w:sz w:val="26"/>
          <w:szCs w:val="26"/>
          <w:rtl/>
        </w:rPr>
        <w:t>"</w:t>
      </w:r>
      <w:r w:rsidR="00954E66" w:rsidRPr="00954E66">
        <w:rPr>
          <w:sz w:val="26"/>
          <w:szCs w:val="26"/>
          <w:rtl/>
        </w:rPr>
        <w:t>במהלך שירותה הצבאי פנתה עדן</w:t>
      </w:r>
      <w:r w:rsidR="00954E66">
        <w:rPr>
          <w:rFonts w:hint="cs"/>
          <w:sz w:val="26"/>
          <w:szCs w:val="26"/>
          <w:rtl/>
        </w:rPr>
        <w:t xml:space="preserve"> </w:t>
      </w:r>
      <w:r w:rsidR="00954E66" w:rsidRPr="00954E66">
        <w:rPr>
          <w:sz w:val="26"/>
          <w:szCs w:val="26"/>
          <w:rtl/>
        </w:rPr>
        <w:t xml:space="preserve">פעמיים בחודשים נובמבר-דצמבר </w:t>
      </w:r>
      <w:r w:rsidR="00954E66" w:rsidRPr="00954E66">
        <w:rPr>
          <w:sz w:val="26"/>
          <w:szCs w:val="26"/>
        </w:rPr>
        <w:t>2017</w:t>
      </w:r>
      <w:r w:rsidR="00954E66" w:rsidRPr="00954E66">
        <w:rPr>
          <w:sz w:val="26"/>
          <w:szCs w:val="26"/>
          <w:rtl/>
        </w:rPr>
        <w:t xml:space="preserve"> למרפאות הנותנות שירות רפואי למשרתים בשירות צבאי בשל כאבים בכתף השמאלית, שם טופלה ב-</w:t>
      </w:r>
      <w:r w:rsidR="00954E66" w:rsidRPr="00954E66">
        <w:rPr>
          <w:sz w:val="26"/>
          <w:szCs w:val="26"/>
        </w:rPr>
        <w:t>2</w:t>
      </w:r>
      <w:r w:rsidR="00954E66" w:rsidRPr="00954E66">
        <w:rPr>
          <w:sz w:val="26"/>
          <w:szCs w:val="26"/>
          <w:rtl/>
        </w:rPr>
        <w:t xml:space="preserve"> זריקות לשריר של </w:t>
      </w:r>
      <w:r w:rsidR="00954E66" w:rsidRPr="00954E66">
        <w:rPr>
          <w:sz w:val="26"/>
          <w:szCs w:val="26"/>
        </w:rPr>
        <w:t>Diclofenac</w:t>
      </w:r>
      <w:r w:rsidR="00954E66" w:rsidRPr="00954E66">
        <w:rPr>
          <w:sz w:val="26"/>
          <w:szCs w:val="26"/>
          <w:rtl/>
        </w:rPr>
        <w:t xml:space="preserve"> (שם מסחרי: וולטרן, אביטרן). </w:t>
      </w:r>
      <w:r w:rsidR="00954E66" w:rsidRPr="00A72ED3">
        <w:rPr>
          <w:b/>
          <w:bCs/>
          <w:sz w:val="26"/>
          <w:szCs w:val="26"/>
          <w:rtl/>
        </w:rPr>
        <w:t>מדובר בתרופות אנטי-דלקתיות שאינן סטרואידליות (</w:t>
      </w:r>
      <w:r w:rsidR="00954E66" w:rsidRPr="00A72ED3">
        <w:rPr>
          <w:b/>
          <w:bCs/>
          <w:sz w:val="26"/>
          <w:szCs w:val="26"/>
        </w:rPr>
        <w:t>NSAID</w:t>
      </w:r>
      <w:r w:rsidR="00954E66" w:rsidRPr="00A72ED3">
        <w:rPr>
          <w:b/>
          <w:bCs/>
          <w:sz w:val="26"/>
          <w:szCs w:val="26"/>
          <w:rtl/>
        </w:rPr>
        <w:t>) הידועות לכל רופא סביר כגורם אפשרי לנזק משמעותי בכליה, כולל פגיעה דלקתית כמפורט בהמשך</w:t>
      </w:r>
      <w:r w:rsidR="00954E66" w:rsidRPr="00954E66">
        <w:rPr>
          <w:sz w:val="26"/>
          <w:szCs w:val="26"/>
          <w:rtl/>
        </w:rPr>
        <w:t xml:space="preserve">. הומלץ על ידי הרופאים על הערכה אורתופדית לבירור מקור הכאבים שלא בוצעה, למרות טיפול נוסף בהפרש של כחודש. </w:t>
      </w:r>
      <w:r w:rsidR="00954E66" w:rsidRPr="00A72ED3">
        <w:rPr>
          <w:b/>
          <w:bCs/>
          <w:sz w:val="26"/>
          <w:szCs w:val="26"/>
          <w:rtl/>
        </w:rPr>
        <w:t>במהלך תקופת הטיפול לא בוצע מעקב מעבדתי של הפרעה אפשרית בתפקודי כליה</w:t>
      </w:r>
      <w:r w:rsidR="00954E66" w:rsidRPr="00954E66">
        <w:rPr>
          <w:sz w:val="26"/>
          <w:szCs w:val="26"/>
          <w:rtl/>
        </w:rPr>
        <w:t>.</w:t>
      </w:r>
      <w:r>
        <w:rPr>
          <w:rFonts w:hint="cs"/>
          <w:sz w:val="26"/>
          <w:szCs w:val="26"/>
          <w:rtl/>
        </w:rPr>
        <w:t>"</w:t>
      </w:r>
    </w:p>
    <w:p w14:paraId="608343A7" w14:textId="77777777" w:rsidR="00A72ED3" w:rsidRPr="00A72ED3" w:rsidRDefault="00A72ED3" w:rsidP="000A024D">
      <w:pPr>
        <w:pStyle w:val="a6"/>
        <w:ind w:left="374" w:firstLine="346"/>
        <w:jc w:val="both"/>
        <w:rPr>
          <w:sz w:val="26"/>
          <w:szCs w:val="26"/>
        </w:rPr>
      </w:pPr>
      <w:r w:rsidRPr="00A72ED3">
        <w:rPr>
          <w:rFonts w:hint="cs"/>
          <w:sz w:val="26"/>
          <w:szCs w:val="26"/>
          <w:rtl/>
        </w:rPr>
        <w:t xml:space="preserve">כל ההדגשות אינן במקור </w:t>
      </w:r>
      <w:r w:rsidRPr="00A72ED3">
        <w:rPr>
          <w:sz w:val="26"/>
          <w:szCs w:val="26"/>
          <w:rtl/>
        </w:rPr>
        <w:t>–</w:t>
      </w:r>
      <w:r w:rsidRPr="00A72ED3">
        <w:rPr>
          <w:rFonts w:hint="cs"/>
          <w:sz w:val="26"/>
          <w:szCs w:val="26"/>
          <w:rtl/>
        </w:rPr>
        <w:t xml:space="preserve"> הח"מ)</w:t>
      </w:r>
    </w:p>
    <w:p w14:paraId="686A6511" w14:textId="77777777" w:rsidR="00954E66" w:rsidRDefault="00954E66" w:rsidP="00954E66">
      <w:pPr>
        <w:pStyle w:val="a6"/>
        <w:ind w:right="993"/>
        <w:jc w:val="both"/>
        <w:rPr>
          <w:sz w:val="26"/>
          <w:szCs w:val="26"/>
          <w:rtl/>
        </w:rPr>
      </w:pPr>
    </w:p>
    <w:p w14:paraId="03DE541F" w14:textId="3EA55A6A" w:rsidR="00954E66" w:rsidRDefault="00954E66" w:rsidP="000A024D">
      <w:pPr>
        <w:pStyle w:val="a6"/>
        <w:ind w:left="374" w:firstLine="346"/>
        <w:jc w:val="both"/>
        <w:rPr>
          <w:sz w:val="26"/>
          <w:szCs w:val="26"/>
          <w:rtl/>
        </w:rPr>
      </w:pPr>
      <w:r>
        <w:rPr>
          <w:rFonts w:hint="cs"/>
          <w:sz w:val="26"/>
          <w:szCs w:val="26"/>
          <w:rtl/>
        </w:rPr>
        <w:t xml:space="preserve">(עמ' </w:t>
      </w:r>
      <w:r w:rsidR="000A024D">
        <w:rPr>
          <w:rFonts w:hint="cs"/>
          <w:sz w:val="26"/>
          <w:szCs w:val="26"/>
          <w:rtl/>
        </w:rPr>
        <w:t>2</w:t>
      </w:r>
      <w:r>
        <w:rPr>
          <w:rFonts w:hint="cs"/>
          <w:sz w:val="26"/>
          <w:szCs w:val="26"/>
          <w:rtl/>
        </w:rPr>
        <w:t xml:space="preserve"> לחוות דעת המומחה מטעמה של המערערת).</w:t>
      </w:r>
    </w:p>
    <w:p w14:paraId="1EA6E650" w14:textId="77777777" w:rsidR="00954E66" w:rsidRPr="00954E66" w:rsidRDefault="00954E66" w:rsidP="00954E66">
      <w:pPr>
        <w:pStyle w:val="a6"/>
        <w:ind w:right="993"/>
        <w:jc w:val="both"/>
        <w:rPr>
          <w:sz w:val="26"/>
          <w:szCs w:val="26"/>
        </w:rPr>
      </w:pPr>
    </w:p>
    <w:p w14:paraId="7E968156" w14:textId="77777777" w:rsidR="00954E66" w:rsidRPr="000A024D" w:rsidRDefault="00954E66" w:rsidP="00162D4E">
      <w:pPr>
        <w:pStyle w:val="a6"/>
        <w:rPr>
          <w:sz w:val="26"/>
          <w:szCs w:val="26"/>
          <w:rtl/>
        </w:rPr>
      </w:pPr>
    </w:p>
    <w:p w14:paraId="64D47365" w14:textId="05B871FF" w:rsidR="00162D4E" w:rsidRDefault="00DF7F49" w:rsidP="000F30C6">
      <w:pPr>
        <w:pStyle w:val="a6"/>
        <w:spacing w:line="360" w:lineRule="auto"/>
        <w:ind w:left="799" w:right="851"/>
        <w:jc w:val="both"/>
        <w:rPr>
          <w:sz w:val="26"/>
          <w:szCs w:val="26"/>
          <w:rtl/>
        </w:rPr>
      </w:pPr>
      <w:r>
        <w:rPr>
          <w:rFonts w:hint="cs"/>
          <w:sz w:val="26"/>
          <w:szCs w:val="26"/>
          <w:rtl/>
        </w:rPr>
        <w:t>"</w:t>
      </w:r>
      <w:r w:rsidR="00162D4E" w:rsidRPr="00162D4E">
        <w:rPr>
          <w:sz w:val="26"/>
          <w:szCs w:val="26"/>
          <w:rtl/>
        </w:rPr>
        <w:t xml:space="preserve">חשוב להדגיש נקודה קריטית נוספת בנוגע לטיפול הרפואי שניתן לעדן במהלך שירותה הצבאי. </w:t>
      </w:r>
      <w:r w:rsidR="00162D4E" w:rsidRPr="00A72ED3">
        <w:rPr>
          <w:b/>
          <w:bCs/>
          <w:sz w:val="26"/>
          <w:szCs w:val="26"/>
          <w:rtl/>
        </w:rPr>
        <w:t>אי ביצוע בדיקות דם לאחר חשיפה לתרופות</w:t>
      </w:r>
      <w:r w:rsidR="00162D4E" w:rsidRPr="00A72ED3">
        <w:rPr>
          <w:b/>
          <w:bCs/>
          <w:sz w:val="26"/>
          <w:szCs w:val="26"/>
        </w:rPr>
        <w:t xml:space="preserve"> NSAID </w:t>
      </w:r>
      <w:r w:rsidR="00162D4E" w:rsidRPr="00A72ED3">
        <w:rPr>
          <w:b/>
          <w:bCs/>
          <w:sz w:val="26"/>
          <w:szCs w:val="26"/>
          <w:rtl/>
        </w:rPr>
        <w:t>(כמו וולטרן) שקיבלה עדן מהווה סטייה מהסטנדרט הרפואי המקובל. רופא סביר היה מבצע בדיקות אלו לאור החשיפה המשמעותית לתרופות ובהתחשב בתלונותיה של המטופלת</w:t>
      </w:r>
      <w:r w:rsidR="00162D4E" w:rsidRPr="00162D4E">
        <w:rPr>
          <w:sz w:val="26"/>
          <w:szCs w:val="26"/>
          <w:rtl/>
        </w:rPr>
        <w:t>. מחדל זה הוביל לשרשרת של השלכות חמורות</w:t>
      </w:r>
      <w:r w:rsidR="00162D4E" w:rsidRPr="00162D4E">
        <w:rPr>
          <w:sz w:val="26"/>
          <w:szCs w:val="26"/>
        </w:rPr>
        <w:t xml:space="preserve">: </w:t>
      </w:r>
    </w:p>
    <w:p w14:paraId="537B6504" w14:textId="77777777" w:rsidR="00A72ED3" w:rsidRPr="00162D4E" w:rsidRDefault="00A72ED3" w:rsidP="000F30C6">
      <w:pPr>
        <w:pStyle w:val="a6"/>
        <w:spacing w:line="360" w:lineRule="auto"/>
        <w:ind w:left="799" w:right="851"/>
        <w:jc w:val="both"/>
        <w:rPr>
          <w:sz w:val="26"/>
          <w:szCs w:val="26"/>
        </w:rPr>
      </w:pPr>
    </w:p>
    <w:p w14:paraId="6E21EDD2" w14:textId="04C616FC" w:rsidR="00162D4E" w:rsidRPr="00162D4E" w:rsidRDefault="00162D4E" w:rsidP="000F30C6">
      <w:pPr>
        <w:pStyle w:val="a6"/>
        <w:spacing w:line="360" w:lineRule="auto"/>
        <w:ind w:left="799" w:right="851"/>
        <w:jc w:val="both"/>
        <w:rPr>
          <w:sz w:val="26"/>
          <w:szCs w:val="26"/>
        </w:rPr>
      </w:pPr>
      <w:r w:rsidRPr="00162D4E">
        <w:rPr>
          <w:sz w:val="26"/>
          <w:szCs w:val="26"/>
        </w:rPr>
        <w:t xml:space="preserve">" </w:t>
      </w:r>
      <w:r w:rsidRPr="00A72ED3">
        <w:rPr>
          <w:sz w:val="26"/>
          <w:szCs w:val="26"/>
          <w:u w:val="single"/>
          <w:rtl/>
        </w:rPr>
        <w:t>מניעת אפשרות לאבחון מוקדם של הפגיעה הכלייתית</w:t>
      </w:r>
      <w:r w:rsidRPr="00162D4E">
        <w:rPr>
          <w:sz w:val="26"/>
          <w:szCs w:val="26"/>
          <w:rtl/>
        </w:rPr>
        <w:t>: ביצוע בדיקות דם היה מאפשר זיהוי מוקדם של סימני אזהרה לפגיעה בתפקוד הכליות</w:t>
      </w:r>
      <w:r w:rsidRPr="00162D4E">
        <w:rPr>
          <w:sz w:val="26"/>
          <w:szCs w:val="26"/>
        </w:rPr>
        <w:t>.</w:t>
      </w:r>
    </w:p>
    <w:p w14:paraId="639AC4AB" w14:textId="77777777" w:rsidR="00162D4E" w:rsidRDefault="00162D4E" w:rsidP="000F30C6">
      <w:pPr>
        <w:pStyle w:val="a6"/>
        <w:spacing w:line="360" w:lineRule="auto"/>
        <w:ind w:left="799" w:right="851"/>
        <w:jc w:val="both"/>
        <w:rPr>
          <w:sz w:val="26"/>
          <w:szCs w:val="26"/>
          <w:rtl/>
        </w:rPr>
      </w:pPr>
    </w:p>
    <w:p w14:paraId="00675698" w14:textId="27E5C690" w:rsidR="00162D4E" w:rsidRPr="00162D4E" w:rsidRDefault="00162D4E" w:rsidP="000F30C6">
      <w:pPr>
        <w:pStyle w:val="a6"/>
        <w:spacing w:line="360" w:lineRule="auto"/>
        <w:ind w:left="799" w:right="851"/>
        <w:jc w:val="both"/>
        <w:rPr>
          <w:sz w:val="26"/>
          <w:szCs w:val="26"/>
        </w:rPr>
      </w:pPr>
      <w:r w:rsidRPr="00A72ED3">
        <w:rPr>
          <w:sz w:val="26"/>
          <w:szCs w:val="26"/>
          <w:u w:val="single"/>
          <w:rtl/>
        </w:rPr>
        <w:t>אובדן הזדמנות לטיפול מוקדם</w:t>
      </w:r>
      <w:r w:rsidRPr="00162D4E">
        <w:rPr>
          <w:sz w:val="26"/>
          <w:szCs w:val="26"/>
          <w:rtl/>
        </w:rPr>
        <w:t>: אבחון מוקדם היה מאפשר התערבות רפואית מיידית, שיכולה הייתה למנוע או לפחות להאט את התקדמות הנזק הכלייתי</w:t>
      </w:r>
      <w:r w:rsidRPr="00162D4E">
        <w:rPr>
          <w:sz w:val="26"/>
          <w:szCs w:val="26"/>
        </w:rPr>
        <w:t>.</w:t>
      </w:r>
    </w:p>
    <w:p w14:paraId="06A60540" w14:textId="77777777" w:rsidR="00162D4E" w:rsidRDefault="00162D4E" w:rsidP="000F30C6">
      <w:pPr>
        <w:pStyle w:val="a6"/>
        <w:spacing w:line="360" w:lineRule="auto"/>
        <w:ind w:left="799" w:right="851"/>
        <w:jc w:val="both"/>
        <w:rPr>
          <w:sz w:val="26"/>
          <w:szCs w:val="26"/>
          <w:rtl/>
        </w:rPr>
      </w:pPr>
    </w:p>
    <w:p w14:paraId="726D9044" w14:textId="37561222" w:rsidR="00162D4E" w:rsidRPr="00162D4E" w:rsidRDefault="00162D4E" w:rsidP="000F30C6">
      <w:pPr>
        <w:pStyle w:val="a6"/>
        <w:spacing w:line="360" w:lineRule="auto"/>
        <w:ind w:left="799" w:right="851"/>
        <w:jc w:val="both"/>
        <w:rPr>
          <w:sz w:val="26"/>
          <w:szCs w:val="26"/>
        </w:rPr>
      </w:pPr>
      <w:r w:rsidRPr="00A72ED3">
        <w:rPr>
          <w:sz w:val="26"/>
          <w:szCs w:val="26"/>
          <w:u w:val="single"/>
          <w:rtl/>
        </w:rPr>
        <w:t>המשך חשיפה מיותרת לתרופות מזיקות</w:t>
      </w:r>
      <w:r w:rsidRPr="00162D4E">
        <w:rPr>
          <w:sz w:val="26"/>
          <w:szCs w:val="26"/>
          <w:rtl/>
        </w:rPr>
        <w:t xml:space="preserve">: ללא זיהוי הפגיעה הראשונית, לא הייתה סיבה להפסיק את השימוש בתרופות </w:t>
      </w:r>
      <w:r w:rsidRPr="00162D4E">
        <w:rPr>
          <w:sz w:val="26"/>
          <w:szCs w:val="26"/>
        </w:rPr>
        <w:t xml:space="preserve">-NSAID, </w:t>
      </w:r>
      <w:r w:rsidRPr="00162D4E">
        <w:rPr>
          <w:sz w:val="26"/>
          <w:szCs w:val="26"/>
          <w:rtl/>
        </w:rPr>
        <w:t>מה שהוביל להמשך החשיפה ולהחמרה אפשרית של הנזק</w:t>
      </w:r>
      <w:r w:rsidRPr="00162D4E">
        <w:rPr>
          <w:sz w:val="26"/>
          <w:szCs w:val="26"/>
        </w:rPr>
        <w:t>.</w:t>
      </w:r>
    </w:p>
    <w:p w14:paraId="44EA2C90" w14:textId="77777777" w:rsidR="00162D4E" w:rsidRDefault="00162D4E" w:rsidP="000F30C6">
      <w:pPr>
        <w:pStyle w:val="a6"/>
        <w:spacing w:line="360" w:lineRule="auto"/>
        <w:ind w:left="799" w:right="851"/>
        <w:jc w:val="both"/>
        <w:rPr>
          <w:sz w:val="26"/>
          <w:szCs w:val="26"/>
          <w:rtl/>
        </w:rPr>
      </w:pPr>
    </w:p>
    <w:p w14:paraId="25D14C44" w14:textId="78E282E0" w:rsidR="00162D4E" w:rsidRPr="00162D4E" w:rsidRDefault="00162D4E" w:rsidP="000F30C6">
      <w:pPr>
        <w:pStyle w:val="a6"/>
        <w:spacing w:line="360" w:lineRule="auto"/>
        <w:ind w:left="799" w:right="851"/>
        <w:jc w:val="both"/>
        <w:rPr>
          <w:sz w:val="26"/>
          <w:szCs w:val="26"/>
        </w:rPr>
      </w:pPr>
      <w:r w:rsidRPr="00A72ED3">
        <w:rPr>
          <w:sz w:val="26"/>
          <w:szCs w:val="26"/>
          <w:u w:val="single"/>
          <w:rtl/>
        </w:rPr>
        <w:t>עיכוב בזיהוי ובטיפול בפגיעה הכלייתית</w:t>
      </w:r>
      <w:r w:rsidRPr="00162D4E">
        <w:rPr>
          <w:sz w:val="26"/>
          <w:szCs w:val="26"/>
          <w:rtl/>
        </w:rPr>
        <w:t>: כתוצאה מהיעדר המעקב, הפגיעה הכלייתית התגלתה רק בשלב מתקדם, כאשר הנזק היה כבר משמעותי ובלתי הפיך</w:t>
      </w:r>
      <w:r w:rsidRPr="00162D4E">
        <w:rPr>
          <w:sz w:val="26"/>
          <w:szCs w:val="26"/>
        </w:rPr>
        <w:t>.</w:t>
      </w:r>
    </w:p>
    <w:p w14:paraId="615DC7FC" w14:textId="77777777" w:rsidR="00162D4E" w:rsidRPr="00DF7F49" w:rsidRDefault="00162D4E" w:rsidP="000F30C6">
      <w:pPr>
        <w:pStyle w:val="a6"/>
        <w:spacing w:line="360" w:lineRule="auto"/>
        <w:ind w:left="799" w:right="851"/>
        <w:jc w:val="both"/>
        <w:rPr>
          <w:sz w:val="26"/>
          <w:szCs w:val="26"/>
          <w:rtl/>
        </w:rPr>
      </w:pPr>
    </w:p>
    <w:p w14:paraId="3808D211" w14:textId="269DA794" w:rsidR="00162D4E" w:rsidRPr="00383A9F" w:rsidRDefault="00162D4E" w:rsidP="000F30C6">
      <w:pPr>
        <w:pStyle w:val="a6"/>
        <w:spacing w:line="360" w:lineRule="auto"/>
        <w:ind w:left="799" w:right="851"/>
        <w:jc w:val="both"/>
        <w:rPr>
          <w:b/>
          <w:bCs/>
          <w:sz w:val="26"/>
          <w:szCs w:val="26"/>
          <w:rtl/>
        </w:rPr>
      </w:pPr>
      <w:r w:rsidRPr="00383A9F">
        <w:rPr>
          <w:b/>
          <w:bCs/>
          <w:sz w:val="26"/>
          <w:szCs w:val="26"/>
          <w:rtl/>
        </w:rPr>
        <w:t>מחדל זה מדגיש את חשיבות המעקב הרפואי הקפדני לאחר מתן תרופות בעלות פוטנציאל לפגיעה כלייתית, במיוחד במסגרת צבאית שבה המטופלים עלולים להיות חשופים לעומסים פיזיים ונפשיים נוספים. הימנעות מביצוע בדיקות אלו לא רק שמנעה טיפול מוקדם, אלא גם הובילה להחמרה של מצבה הרפואי של עדן, שהיה ניתן למנוע או לפחות למתן</w:t>
      </w:r>
      <w:r w:rsidR="00DF7F49" w:rsidRPr="00383A9F">
        <w:rPr>
          <w:rFonts w:hint="cs"/>
          <w:b/>
          <w:bCs/>
          <w:sz w:val="26"/>
          <w:szCs w:val="26"/>
          <w:rtl/>
        </w:rPr>
        <w:t>.</w:t>
      </w:r>
    </w:p>
    <w:p w14:paraId="74070F03" w14:textId="77777777" w:rsidR="00DF7F49" w:rsidRDefault="00DF7F49" w:rsidP="00162D4E">
      <w:pPr>
        <w:pStyle w:val="a6"/>
        <w:ind w:left="374"/>
        <w:jc w:val="both"/>
        <w:rPr>
          <w:sz w:val="26"/>
          <w:szCs w:val="26"/>
          <w:rtl/>
        </w:rPr>
      </w:pPr>
    </w:p>
    <w:p w14:paraId="6AFEA735" w14:textId="0186F48A" w:rsidR="00DF7F49" w:rsidRPr="00162D4E" w:rsidRDefault="00DF7F49" w:rsidP="00162D4E">
      <w:pPr>
        <w:pStyle w:val="a6"/>
        <w:ind w:left="374"/>
        <w:jc w:val="both"/>
        <w:rPr>
          <w:sz w:val="26"/>
          <w:szCs w:val="26"/>
        </w:rPr>
      </w:pPr>
      <w:r>
        <w:rPr>
          <w:rFonts w:hint="cs"/>
          <w:sz w:val="26"/>
          <w:szCs w:val="26"/>
          <w:rtl/>
        </w:rPr>
        <w:t>(עמ' 8 לחוות דעת המומחה מטעמה של המערערת).</w:t>
      </w:r>
    </w:p>
    <w:p w14:paraId="456FACF1" w14:textId="77777777" w:rsidR="00162D4E" w:rsidRPr="00162D4E" w:rsidRDefault="00162D4E" w:rsidP="00162D4E">
      <w:pPr>
        <w:pStyle w:val="a6"/>
        <w:ind w:left="374"/>
        <w:jc w:val="both"/>
        <w:rPr>
          <w:sz w:val="26"/>
          <w:szCs w:val="26"/>
        </w:rPr>
      </w:pPr>
    </w:p>
    <w:p w14:paraId="3F9AB673" w14:textId="77777777" w:rsidR="0071779B" w:rsidRPr="0071779B" w:rsidRDefault="0071779B" w:rsidP="0071779B">
      <w:pPr>
        <w:pStyle w:val="a6"/>
        <w:rPr>
          <w:sz w:val="26"/>
          <w:szCs w:val="26"/>
          <w:rtl/>
        </w:rPr>
      </w:pPr>
    </w:p>
    <w:p w14:paraId="61FCFDA0" w14:textId="42B3DF10" w:rsidR="00A21141" w:rsidRDefault="00764228" w:rsidP="00A21141">
      <w:pPr>
        <w:pStyle w:val="a6"/>
        <w:numPr>
          <w:ilvl w:val="0"/>
          <w:numId w:val="14"/>
        </w:numPr>
        <w:ind w:left="374" w:hanging="567"/>
        <w:jc w:val="both"/>
        <w:rPr>
          <w:sz w:val="26"/>
          <w:szCs w:val="26"/>
        </w:rPr>
      </w:pPr>
      <w:r>
        <w:rPr>
          <w:rFonts w:hint="cs"/>
          <w:sz w:val="26"/>
          <w:szCs w:val="26"/>
          <w:rtl/>
        </w:rPr>
        <w:t>בניגוד לעמדתה של המומחית מטעמו של המשיב, התיעוד הרפואי שניתן למערערת במסגרת הטיפול הרפואי שניתן לה בבית החולים שיבא, הופנתה התובעת לביצוע בדיקת ביופסיה בחשד לתהליך דלקתי בכליה משני לטיפול תרופתי.</w:t>
      </w:r>
    </w:p>
    <w:p w14:paraId="606DBA64" w14:textId="77777777" w:rsidR="00764228" w:rsidRDefault="00764228" w:rsidP="00764228">
      <w:pPr>
        <w:pStyle w:val="a6"/>
        <w:ind w:left="374"/>
        <w:jc w:val="both"/>
        <w:rPr>
          <w:sz w:val="26"/>
          <w:szCs w:val="26"/>
        </w:rPr>
      </w:pPr>
    </w:p>
    <w:p w14:paraId="3F6DEC43" w14:textId="79F0469D" w:rsidR="00764228" w:rsidRDefault="00764228" w:rsidP="00A21141">
      <w:pPr>
        <w:pStyle w:val="a6"/>
        <w:numPr>
          <w:ilvl w:val="0"/>
          <w:numId w:val="14"/>
        </w:numPr>
        <w:ind w:left="374" w:hanging="567"/>
        <w:jc w:val="both"/>
        <w:rPr>
          <w:sz w:val="26"/>
          <w:szCs w:val="26"/>
        </w:rPr>
      </w:pPr>
      <w:r w:rsidRPr="00383A9F">
        <w:rPr>
          <w:rFonts w:hint="cs"/>
          <w:sz w:val="26"/>
          <w:szCs w:val="26"/>
          <w:u w:val="single"/>
          <w:rtl/>
        </w:rPr>
        <w:t>הבדיקה הפתולוגית</w:t>
      </w:r>
      <w:r w:rsidR="009433A8" w:rsidRPr="00383A9F">
        <w:rPr>
          <w:rFonts w:hint="cs"/>
          <w:sz w:val="26"/>
          <w:szCs w:val="26"/>
          <w:u w:val="single"/>
          <w:rtl/>
        </w:rPr>
        <w:t xml:space="preserve"> הדגימה ממצאים אשר מאששים את החשד לפיו הנזק הכלייתי מקורו (או לכל הפחות החרפתו) הינו כתוצאה משימוש בתרופות כאמור</w:t>
      </w:r>
      <w:r w:rsidR="009433A8">
        <w:rPr>
          <w:rFonts w:hint="cs"/>
          <w:sz w:val="26"/>
          <w:szCs w:val="26"/>
          <w:rtl/>
        </w:rPr>
        <w:t xml:space="preserve">. במסגרת המעקב הרפואי המקיף שניתן לה במרפאה הנפרולוגית בשיבא, בדיקות גנטיות שביצעה הדגימו מוטציה בגן </w:t>
      </w:r>
      <w:r w:rsidR="009433A8">
        <w:rPr>
          <w:sz w:val="26"/>
          <w:szCs w:val="26"/>
        </w:rPr>
        <w:t>Tsc1</w:t>
      </w:r>
      <w:r w:rsidR="009433A8">
        <w:rPr>
          <w:rFonts w:hint="cs"/>
          <w:sz w:val="26"/>
          <w:szCs w:val="26"/>
          <w:rtl/>
        </w:rPr>
        <w:t xml:space="preserve"> שגורמת למחלת כליה קלה יותר מזו שהמערערת לקתה בה.</w:t>
      </w:r>
    </w:p>
    <w:p w14:paraId="446373FD" w14:textId="77777777" w:rsidR="009433A8" w:rsidRPr="009433A8" w:rsidRDefault="009433A8" w:rsidP="009433A8">
      <w:pPr>
        <w:pStyle w:val="a6"/>
        <w:rPr>
          <w:sz w:val="26"/>
          <w:szCs w:val="26"/>
          <w:rtl/>
        </w:rPr>
      </w:pPr>
    </w:p>
    <w:p w14:paraId="3D8C2490" w14:textId="0BE1B106" w:rsidR="009433A8" w:rsidRDefault="009433A8" w:rsidP="00A21141">
      <w:pPr>
        <w:pStyle w:val="a6"/>
        <w:numPr>
          <w:ilvl w:val="0"/>
          <w:numId w:val="14"/>
        </w:numPr>
        <w:ind w:left="374" w:hanging="567"/>
        <w:jc w:val="both"/>
        <w:rPr>
          <w:sz w:val="26"/>
          <w:szCs w:val="26"/>
        </w:rPr>
      </w:pPr>
      <w:r>
        <w:rPr>
          <w:rFonts w:hint="cs"/>
          <w:sz w:val="26"/>
          <w:szCs w:val="26"/>
          <w:rtl/>
        </w:rPr>
        <w:t>המומחה מטעמה של המערערת מתייחס לאמור כדלקמן:</w:t>
      </w:r>
    </w:p>
    <w:p w14:paraId="3BEF20D0" w14:textId="77777777" w:rsidR="009433A8" w:rsidRPr="009433A8" w:rsidRDefault="009433A8" w:rsidP="009433A8">
      <w:pPr>
        <w:pStyle w:val="a6"/>
        <w:rPr>
          <w:sz w:val="26"/>
          <w:szCs w:val="26"/>
          <w:rtl/>
        </w:rPr>
      </w:pPr>
    </w:p>
    <w:p w14:paraId="2F7E7489" w14:textId="41F580AA" w:rsidR="009433A8" w:rsidRDefault="009433A8" w:rsidP="0028150B">
      <w:pPr>
        <w:pStyle w:val="a6"/>
        <w:ind w:left="657" w:right="851"/>
        <w:jc w:val="both"/>
        <w:rPr>
          <w:sz w:val="26"/>
          <w:szCs w:val="26"/>
          <w:rtl/>
        </w:rPr>
      </w:pPr>
      <w:r>
        <w:rPr>
          <w:rFonts w:hint="cs"/>
          <w:sz w:val="26"/>
          <w:szCs w:val="26"/>
          <w:rtl/>
        </w:rPr>
        <w:t>"</w:t>
      </w:r>
      <w:r w:rsidRPr="009433A8">
        <w:rPr>
          <w:sz w:val="26"/>
          <w:szCs w:val="26"/>
          <w:rtl/>
        </w:rPr>
        <w:t xml:space="preserve">עדן עברה בדיקות גנטיות שהדגימו מוטציה בגן </w:t>
      </w:r>
      <w:r w:rsidRPr="009433A8">
        <w:rPr>
          <w:sz w:val="26"/>
          <w:szCs w:val="26"/>
        </w:rPr>
        <w:t>Tsc1</w:t>
      </w:r>
      <w:r w:rsidRPr="009433A8">
        <w:rPr>
          <w:sz w:val="26"/>
          <w:szCs w:val="26"/>
          <w:rtl/>
        </w:rPr>
        <w:t xml:space="preserve">, מוטציה שגורמת לרוב למחלת כליה קלה יותר. המוטציה היא מסוג </w:t>
      </w:r>
      <w:r w:rsidRPr="009433A8">
        <w:rPr>
          <w:sz w:val="26"/>
          <w:szCs w:val="26"/>
        </w:rPr>
        <w:t>STOP CODON</w:t>
      </w:r>
      <w:r w:rsidRPr="009433A8">
        <w:rPr>
          <w:sz w:val="26"/>
          <w:szCs w:val="26"/>
          <w:rtl/>
        </w:rPr>
        <w:t xml:space="preserve">, כלומר גורמת לפגיעה במבנה החלבון שמקודד אליו הגן מכיוון שהשינוי מקודד להפסקת ייצור החלבון בתאים. במהלך ההכנה להשתלה שביצעה בפברואר </w:t>
      </w:r>
      <w:r>
        <w:rPr>
          <w:rFonts w:hint="cs"/>
          <w:sz w:val="26"/>
          <w:szCs w:val="26"/>
          <w:rtl/>
        </w:rPr>
        <w:t xml:space="preserve">2021 </w:t>
      </w:r>
      <w:r w:rsidRPr="009433A8">
        <w:rPr>
          <w:sz w:val="26"/>
          <w:szCs w:val="26"/>
          <w:rtl/>
        </w:rPr>
        <w:t>בתרומת כליה מן החי נמצא שינוי במבנה הלב שרק השתלה תוכל לפתור יחד עם איזון יתר לחץ דם .</w:t>
      </w:r>
    </w:p>
    <w:p w14:paraId="2F2542F7" w14:textId="77777777" w:rsidR="009433A8" w:rsidRDefault="009433A8" w:rsidP="0028150B">
      <w:pPr>
        <w:pStyle w:val="a6"/>
        <w:ind w:left="657" w:right="851"/>
        <w:jc w:val="both"/>
        <w:rPr>
          <w:sz w:val="26"/>
          <w:szCs w:val="26"/>
          <w:rtl/>
        </w:rPr>
      </w:pPr>
    </w:p>
    <w:p w14:paraId="7CBAF39A" w14:textId="77777777" w:rsidR="009433A8" w:rsidRPr="00383A9F" w:rsidRDefault="009433A8" w:rsidP="0028150B">
      <w:pPr>
        <w:pStyle w:val="a6"/>
        <w:ind w:left="657" w:right="851"/>
        <w:jc w:val="both"/>
        <w:rPr>
          <w:b/>
          <w:bCs/>
          <w:sz w:val="26"/>
          <w:szCs w:val="26"/>
          <w:rtl/>
        </w:rPr>
      </w:pPr>
      <w:r w:rsidRPr="00383A9F">
        <w:rPr>
          <w:b/>
          <w:bCs/>
          <w:sz w:val="26"/>
          <w:szCs w:val="26"/>
          <w:rtl/>
        </w:rPr>
        <w:t xml:space="preserve">המסמך הרפואי המסכם האחרון שנמצא בפניי הוא מאפריל </w:t>
      </w:r>
      <w:r w:rsidRPr="00383A9F">
        <w:rPr>
          <w:b/>
          <w:bCs/>
          <w:sz w:val="26"/>
          <w:szCs w:val="26"/>
        </w:rPr>
        <w:t>2021</w:t>
      </w:r>
      <w:r w:rsidRPr="00383A9F">
        <w:rPr>
          <w:b/>
          <w:bCs/>
          <w:sz w:val="26"/>
          <w:szCs w:val="26"/>
          <w:rtl/>
        </w:rPr>
        <w:t xml:space="preserve">, המסכם את כל הממצאים שפורטו למעלה ואומר שכאשר חיפשו טריגר לדלקת במשתית הכליה, נמצא כי היא נטלה וולטרן ב- </w:t>
      </w:r>
      <w:r w:rsidRPr="00383A9F">
        <w:rPr>
          <w:b/>
          <w:bCs/>
          <w:sz w:val="26"/>
          <w:szCs w:val="26"/>
        </w:rPr>
        <w:t>2017</w:t>
      </w:r>
      <w:r w:rsidRPr="00383A9F">
        <w:rPr>
          <w:b/>
          <w:bCs/>
          <w:sz w:val="26"/>
          <w:szCs w:val="26"/>
          <w:rtl/>
        </w:rPr>
        <w:t xml:space="preserve"> בנוסף ל-</w:t>
      </w:r>
      <w:r w:rsidRPr="00383A9F">
        <w:rPr>
          <w:b/>
          <w:bCs/>
          <w:sz w:val="26"/>
          <w:szCs w:val="26"/>
        </w:rPr>
        <w:t>30</w:t>
      </w:r>
      <w:r w:rsidRPr="00383A9F">
        <w:rPr>
          <w:b/>
          <w:bCs/>
          <w:sz w:val="26"/>
          <w:szCs w:val="26"/>
          <w:rtl/>
        </w:rPr>
        <w:t xml:space="preserve"> כדורים של נורופן כ-</w:t>
      </w:r>
      <w:r w:rsidRPr="00383A9F">
        <w:rPr>
          <w:b/>
          <w:bCs/>
          <w:sz w:val="26"/>
          <w:szCs w:val="26"/>
        </w:rPr>
        <w:t>10</w:t>
      </w:r>
      <w:r w:rsidRPr="00383A9F">
        <w:rPr>
          <w:b/>
          <w:bCs/>
          <w:sz w:val="26"/>
          <w:szCs w:val="26"/>
          <w:rtl/>
        </w:rPr>
        <w:t xml:space="preserve"> כדורים בכל פעם, ומציינת את העובדה התמוהה כי טיפול זה נעשה ללא מעקב מעבדתי או הדרכתי. כמו כן, בביקור זה היא מציינת שבדיעבד, לאחר קבלת</w:t>
      </w:r>
    </w:p>
    <w:p w14:paraId="668C46A0" w14:textId="77777777" w:rsidR="009433A8" w:rsidRDefault="009433A8" w:rsidP="0028150B">
      <w:pPr>
        <w:pStyle w:val="a6"/>
        <w:ind w:left="657" w:right="851"/>
        <w:jc w:val="both"/>
        <w:rPr>
          <w:sz w:val="26"/>
          <w:szCs w:val="26"/>
          <w:rtl/>
        </w:rPr>
      </w:pPr>
    </w:p>
    <w:p w14:paraId="760C4BB7" w14:textId="408FA6F5" w:rsidR="009433A8" w:rsidRPr="009433A8" w:rsidRDefault="009433A8" w:rsidP="0028150B">
      <w:pPr>
        <w:pStyle w:val="a6"/>
        <w:ind w:left="657" w:right="851"/>
        <w:jc w:val="both"/>
        <w:rPr>
          <w:sz w:val="26"/>
          <w:szCs w:val="26"/>
        </w:rPr>
      </w:pPr>
      <w:r w:rsidRPr="009433A8">
        <w:rPr>
          <w:sz w:val="26"/>
          <w:szCs w:val="26"/>
          <w:rtl/>
        </w:rPr>
        <w:t xml:space="preserve">התשובות הגנטיות, נמצאו ממצאים שונים התומכים בבדיקה גופנית באבחנה של </w:t>
      </w:r>
      <w:r w:rsidRPr="009433A8">
        <w:rPr>
          <w:sz w:val="26"/>
          <w:szCs w:val="26"/>
        </w:rPr>
        <w:t>Tuberous Sclerosis</w:t>
      </w:r>
      <w:r w:rsidRPr="009433A8">
        <w:rPr>
          <w:sz w:val="26"/>
          <w:szCs w:val="26"/>
          <w:rtl/>
        </w:rPr>
        <w:t xml:space="preserve">, כולל ממצאים עוריים שונים הכוללים אזור לבנבן בעור (היפופיגמנטציה), פיברומות מסוג שגרין וממצאי קונפרטי, שכולם כנראה היו קיימים בעבר אך לא זוהו. כמו כן, היא כותבת בצד במכתב שהיא לא מצאה פגיעות המתאימות לפגיעות בכליה במחלת </w:t>
      </w:r>
      <w:r w:rsidRPr="009433A8">
        <w:rPr>
          <w:sz w:val="26"/>
          <w:szCs w:val="26"/>
        </w:rPr>
        <w:t>TSC</w:t>
      </w:r>
      <w:r w:rsidRPr="009433A8">
        <w:rPr>
          <w:sz w:val="26"/>
          <w:szCs w:val="26"/>
          <w:rtl/>
        </w:rPr>
        <w:t xml:space="preserve"> מסוג אנגיומיופיברומות (כמפורט מטה) או נזק כתוצאה מפגיעה בפקעיות הכליה באופן מתמשך המכונה </w:t>
      </w:r>
      <w:r w:rsidRPr="009433A8">
        <w:rPr>
          <w:sz w:val="26"/>
          <w:szCs w:val="26"/>
        </w:rPr>
        <w:t>FSGS</w:t>
      </w:r>
      <w:r w:rsidRPr="009433A8">
        <w:rPr>
          <w:sz w:val="26"/>
          <w:szCs w:val="26"/>
          <w:rtl/>
        </w:rPr>
        <w:t xml:space="preserve">. </w:t>
      </w:r>
      <w:r w:rsidRPr="00383A9F">
        <w:rPr>
          <w:sz w:val="26"/>
          <w:szCs w:val="26"/>
          <w:u w:val="single"/>
          <w:rtl/>
        </w:rPr>
        <w:t xml:space="preserve">כמו כן, נרשם במכתב שככל הנראה התרופות מסוג </w:t>
      </w:r>
      <w:r w:rsidRPr="00383A9F">
        <w:rPr>
          <w:sz w:val="26"/>
          <w:szCs w:val="26"/>
          <w:u w:val="single"/>
        </w:rPr>
        <w:t>NSAID</w:t>
      </w:r>
      <w:r w:rsidRPr="00383A9F">
        <w:rPr>
          <w:sz w:val="26"/>
          <w:szCs w:val="26"/>
          <w:u w:val="single"/>
          <w:rtl/>
        </w:rPr>
        <w:t xml:space="preserve"> (וולטרן) הביאו לפגיעה כלייתית ואולי האיצו התדרדרות כלייתית</w:t>
      </w:r>
      <w:r w:rsidRPr="009433A8">
        <w:rPr>
          <w:sz w:val="26"/>
          <w:szCs w:val="26"/>
          <w:rtl/>
        </w:rPr>
        <w:t>.</w:t>
      </w:r>
      <w:r>
        <w:rPr>
          <w:rFonts w:hint="cs"/>
          <w:sz w:val="26"/>
          <w:szCs w:val="26"/>
          <w:rtl/>
        </w:rPr>
        <w:t>"</w:t>
      </w:r>
    </w:p>
    <w:p w14:paraId="79E823C0" w14:textId="77777777" w:rsidR="009433A8" w:rsidRDefault="009433A8" w:rsidP="009433A8">
      <w:pPr>
        <w:pStyle w:val="a6"/>
        <w:ind w:left="374"/>
        <w:jc w:val="both"/>
        <w:rPr>
          <w:sz w:val="26"/>
          <w:szCs w:val="26"/>
          <w:rtl/>
        </w:rPr>
      </w:pPr>
    </w:p>
    <w:p w14:paraId="63D5E174" w14:textId="47827090" w:rsidR="009433A8" w:rsidRPr="009433A8" w:rsidRDefault="009433A8" w:rsidP="009433A8">
      <w:pPr>
        <w:pStyle w:val="a6"/>
        <w:ind w:left="374"/>
        <w:jc w:val="both"/>
        <w:rPr>
          <w:sz w:val="26"/>
          <w:szCs w:val="26"/>
        </w:rPr>
      </w:pPr>
      <w:r>
        <w:rPr>
          <w:rFonts w:hint="cs"/>
          <w:sz w:val="26"/>
          <w:szCs w:val="26"/>
          <w:rtl/>
        </w:rPr>
        <w:t xml:space="preserve">(עמ' 4 </w:t>
      </w:r>
      <w:r>
        <w:rPr>
          <w:sz w:val="26"/>
          <w:szCs w:val="26"/>
          <w:rtl/>
        </w:rPr>
        <w:t>–</w:t>
      </w:r>
      <w:r>
        <w:rPr>
          <w:rFonts w:hint="cs"/>
          <w:sz w:val="26"/>
          <w:szCs w:val="26"/>
          <w:rtl/>
        </w:rPr>
        <w:t xml:space="preserve"> 5 לחוות דעת המומחה מטעמה של המערערת).</w:t>
      </w:r>
    </w:p>
    <w:p w14:paraId="76E14A5F" w14:textId="77777777" w:rsidR="009433A8" w:rsidRPr="009433A8" w:rsidRDefault="009433A8" w:rsidP="009433A8">
      <w:pPr>
        <w:pStyle w:val="a6"/>
        <w:ind w:left="374"/>
        <w:jc w:val="both"/>
        <w:rPr>
          <w:sz w:val="26"/>
          <w:szCs w:val="26"/>
        </w:rPr>
      </w:pPr>
    </w:p>
    <w:p w14:paraId="2A21F3E6" w14:textId="77777777" w:rsidR="00442BD8" w:rsidRPr="00442BD8" w:rsidRDefault="00442BD8" w:rsidP="00442BD8">
      <w:pPr>
        <w:pStyle w:val="a6"/>
        <w:rPr>
          <w:sz w:val="26"/>
          <w:szCs w:val="26"/>
          <w:rtl/>
        </w:rPr>
      </w:pPr>
    </w:p>
    <w:p w14:paraId="7EDAC76F" w14:textId="67CF6646" w:rsidR="00442BD8" w:rsidRDefault="00030BFB" w:rsidP="00A21141">
      <w:pPr>
        <w:pStyle w:val="a6"/>
        <w:numPr>
          <w:ilvl w:val="0"/>
          <w:numId w:val="14"/>
        </w:numPr>
        <w:ind w:left="374" w:hanging="567"/>
        <w:jc w:val="both"/>
        <w:rPr>
          <w:sz w:val="26"/>
          <w:szCs w:val="26"/>
        </w:rPr>
      </w:pPr>
      <w:r>
        <w:rPr>
          <w:rFonts w:hint="cs"/>
          <w:sz w:val="26"/>
          <w:szCs w:val="26"/>
          <w:rtl/>
        </w:rPr>
        <w:t xml:space="preserve">המומחה מטעמה של המערערת דן במצבים הרפואיים השונים הרלוונטיים לעניינה של המערערת והקשר בין תרופות אנטי דלקתיות שאינן סטרואידים והשפעתם על הכליות במצבים השונים </w:t>
      </w:r>
      <w:r>
        <w:rPr>
          <w:sz w:val="26"/>
          <w:szCs w:val="26"/>
          <w:rtl/>
        </w:rPr>
        <w:t>–</w:t>
      </w:r>
      <w:r>
        <w:rPr>
          <w:rFonts w:hint="cs"/>
          <w:sz w:val="26"/>
          <w:szCs w:val="26"/>
          <w:rtl/>
        </w:rPr>
        <w:t xml:space="preserve"> מדוע התרופות שניתנו לה במהלך שירותה הצבאי גרמו לנזק הכלייתי, וזאת, בניגוד להחלטת המשיב ו</w:t>
      </w:r>
      <w:r w:rsidR="00383A9F">
        <w:rPr>
          <w:rFonts w:hint="cs"/>
          <w:sz w:val="26"/>
          <w:szCs w:val="26"/>
          <w:rtl/>
        </w:rPr>
        <w:t>לחוות דעת ה</w:t>
      </w:r>
      <w:r>
        <w:rPr>
          <w:rFonts w:hint="cs"/>
          <w:sz w:val="26"/>
          <w:szCs w:val="26"/>
          <w:rtl/>
        </w:rPr>
        <w:t>מומחית מטעמו.</w:t>
      </w:r>
    </w:p>
    <w:p w14:paraId="36A91D81" w14:textId="77777777" w:rsidR="00030BFB" w:rsidRDefault="00030BFB" w:rsidP="00030BFB">
      <w:pPr>
        <w:pStyle w:val="a6"/>
        <w:ind w:left="374"/>
        <w:jc w:val="both"/>
        <w:rPr>
          <w:sz w:val="26"/>
          <w:szCs w:val="26"/>
        </w:rPr>
      </w:pPr>
    </w:p>
    <w:p w14:paraId="4E34F71A" w14:textId="01162734" w:rsidR="00030BFB" w:rsidRDefault="00030BFB" w:rsidP="00A21141">
      <w:pPr>
        <w:pStyle w:val="a6"/>
        <w:numPr>
          <w:ilvl w:val="0"/>
          <w:numId w:val="14"/>
        </w:numPr>
        <w:ind w:left="374" w:hanging="567"/>
        <w:jc w:val="both"/>
        <w:rPr>
          <w:sz w:val="26"/>
          <w:szCs w:val="26"/>
        </w:rPr>
      </w:pPr>
      <w:r>
        <w:rPr>
          <w:rFonts w:hint="cs"/>
          <w:sz w:val="26"/>
          <w:szCs w:val="26"/>
          <w:rtl/>
        </w:rPr>
        <w:lastRenderedPageBreak/>
        <w:t xml:space="preserve">בנוסף, המומחה מטעמה של המערערת, אשר בנוסף להיותו מומחה </w:t>
      </w:r>
      <w:r w:rsidR="00383A9F">
        <w:rPr>
          <w:rFonts w:hint="cs"/>
          <w:sz w:val="26"/>
          <w:szCs w:val="26"/>
          <w:rtl/>
        </w:rPr>
        <w:t>בתחום הנפרולוגי,</w:t>
      </w:r>
      <w:r>
        <w:rPr>
          <w:rFonts w:hint="cs"/>
          <w:sz w:val="26"/>
          <w:szCs w:val="26"/>
          <w:rtl/>
        </w:rPr>
        <w:t xml:space="preserve"> מומחה גם במחלת ה-</w:t>
      </w:r>
      <w:r>
        <w:rPr>
          <w:sz w:val="26"/>
          <w:szCs w:val="26"/>
        </w:rPr>
        <w:t>TSC</w:t>
      </w:r>
      <w:r>
        <w:rPr>
          <w:rFonts w:hint="cs"/>
          <w:sz w:val="26"/>
          <w:szCs w:val="26"/>
          <w:rtl/>
        </w:rPr>
        <w:t xml:space="preserve"> מפרט על המחלה וההשקה בינה לבין  מצבה של המערערת והקשר עם הטיפול שניתן לה.</w:t>
      </w:r>
    </w:p>
    <w:p w14:paraId="33AAD907" w14:textId="77777777" w:rsidR="00030BFB" w:rsidRPr="00030BFB" w:rsidRDefault="00030BFB" w:rsidP="00030BFB">
      <w:pPr>
        <w:pStyle w:val="a6"/>
        <w:rPr>
          <w:sz w:val="26"/>
          <w:szCs w:val="26"/>
          <w:rtl/>
        </w:rPr>
      </w:pPr>
    </w:p>
    <w:p w14:paraId="0D2731B6" w14:textId="2778BBBC" w:rsidR="00030BFB" w:rsidRDefault="00C75A16" w:rsidP="00A21141">
      <w:pPr>
        <w:pStyle w:val="a6"/>
        <w:numPr>
          <w:ilvl w:val="0"/>
          <w:numId w:val="14"/>
        </w:numPr>
        <w:ind w:left="374" w:hanging="567"/>
        <w:jc w:val="both"/>
        <w:rPr>
          <w:sz w:val="26"/>
          <w:szCs w:val="26"/>
        </w:rPr>
      </w:pPr>
      <w:r>
        <w:rPr>
          <w:rFonts w:hint="cs"/>
          <w:sz w:val="26"/>
          <w:szCs w:val="26"/>
          <w:rtl/>
        </w:rPr>
        <w:t xml:space="preserve">המערערת סבלה מאי ספיקת כליות שהצריכה דיאליזה ובזכות תרומת כליה מן החי נחסך ממנה הצורך בקבלת טיפולי דיאליזה כאמור. </w:t>
      </w:r>
    </w:p>
    <w:p w14:paraId="4390944F" w14:textId="77777777" w:rsidR="00C75A16" w:rsidRPr="00C75A16" w:rsidRDefault="00C75A16" w:rsidP="00C75A16">
      <w:pPr>
        <w:pStyle w:val="a6"/>
        <w:rPr>
          <w:sz w:val="26"/>
          <w:szCs w:val="26"/>
          <w:rtl/>
        </w:rPr>
      </w:pPr>
    </w:p>
    <w:p w14:paraId="30338561" w14:textId="71FF371F" w:rsidR="00C75A16" w:rsidRDefault="00C75A16" w:rsidP="00A21141">
      <w:pPr>
        <w:pStyle w:val="a6"/>
        <w:numPr>
          <w:ilvl w:val="0"/>
          <w:numId w:val="14"/>
        </w:numPr>
        <w:ind w:left="374" w:hanging="567"/>
        <w:jc w:val="both"/>
        <w:rPr>
          <w:sz w:val="26"/>
          <w:szCs w:val="26"/>
        </w:rPr>
      </w:pPr>
      <w:r>
        <w:rPr>
          <w:rFonts w:hint="cs"/>
          <w:sz w:val="26"/>
          <w:szCs w:val="26"/>
          <w:rtl/>
        </w:rPr>
        <w:t>המומחית מטעמו של המשיב טענה כי הנזק הכלייתי מקורו במחלת ה-</w:t>
      </w:r>
      <w:r>
        <w:rPr>
          <w:sz w:val="26"/>
          <w:szCs w:val="26"/>
        </w:rPr>
        <w:t>TSC</w:t>
      </w:r>
      <w:r>
        <w:rPr>
          <w:rFonts w:hint="cs"/>
          <w:sz w:val="26"/>
          <w:szCs w:val="26"/>
          <w:rtl/>
        </w:rPr>
        <w:t>, אך קביעה זו אינה נסמכת על העובדות בעניינה, כפי שמפרט המומחה מטעמה של המערערת כדלקמן:</w:t>
      </w:r>
    </w:p>
    <w:p w14:paraId="4B0CEFD1" w14:textId="77777777" w:rsidR="00C75A16" w:rsidRPr="00C75A16" w:rsidRDefault="00C75A16" w:rsidP="00C75A16">
      <w:pPr>
        <w:pStyle w:val="a6"/>
        <w:rPr>
          <w:sz w:val="26"/>
          <w:szCs w:val="26"/>
          <w:rtl/>
        </w:rPr>
      </w:pPr>
    </w:p>
    <w:p w14:paraId="22A4D360" w14:textId="60AF9248" w:rsidR="00C75A16" w:rsidRPr="00C75A16" w:rsidRDefault="00C75A16" w:rsidP="0028150B">
      <w:pPr>
        <w:pStyle w:val="a6"/>
        <w:bidi w:val="0"/>
        <w:ind w:left="709" w:right="799"/>
        <w:jc w:val="right"/>
        <w:rPr>
          <w:sz w:val="26"/>
          <w:szCs w:val="26"/>
        </w:rPr>
      </w:pPr>
      <w:r w:rsidRPr="00C75A16">
        <w:rPr>
          <w:sz w:val="26"/>
          <w:szCs w:val="26"/>
          <w:u w:val="single"/>
        </w:rPr>
        <w:t>TSC (Tuberous Sclerosis Complex)-</w:t>
      </w:r>
      <w:r>
        <w:rPr>
          <w:rFonts w:hint="cs"/>
          <w:sz w:val="26"/>
          <w:szCs w:val="26"/>
          <w:u w:val="single"/>
          <w:rtl/>
        </w:rPr>
        <w:t>"</w:t>
      </w:r>
      <w:r w:rsidRPr="00C75A16">
        <w:rPr>
          <w:sz w:val="26"/>
          <w:szCs w:val="26"/>
          <w:u w:val="single"/>
          <w:rtl/>
        </w:rPr>
        <w:t>מחלת ה</w:t>
      </w:r>
    </w:p>
    <w:p w14:paraId="284DCE5C" w14:textId="1E4B7056" w:rsidR="00C75A16" w:rsidRDefault="00C75A16" w:rsidP="0028150B">
      <w:pPr>
        <w:pStyle w:val="a6"/>
        <w:ind w:left="709" w:right="799"/>
        <w:jc w:val="both"/>
        <w:rPr>
          <w:sz w:val="26"/>
          <w:szCs w:val="26"/>
          <w:rtl/>
        </w:rPr>
      </w:pPr>
      <w:r w:rsidRPr="00C75A16">
        <w:rPr>
          <w:sz w:val="26"/>
          <w:szCs w:val="26"/>
          <w:rtl/>
        </w:rPr>
        <w:t>מחלת ה-</w:t>
      </w:r>
      <w:r w:rsidRPr="00C75A16">
        <w:rPr>
          <w:sz w:val="26"/>
          <w:szCs w:val="26"/>
        </w:rPr>
        <w:t>TSC</w:t>
      </w:r>
      <w:r w:rsidRPr="00C75A16">
        <w:rPr>
          <w:sz w:val="26"/>
          <w:szCs w:val="26"/>
          <w:rtl/>
        </w:rPr>
        <w:t xml:space="preserve"> היא הפרעה גנטית נדירה המאופיינת בהתפתחות גידולים שפירים במספר איברים בגוף, כולל המוח, העור, הכליות, הריאות והלב. המחלה נגרמת על ידי מוטציות באחד משני גנים: </w:t>
      </w:r>
      <w:r w:rsidRPr="00C75A16">
        <w:rPr>
          <w:sz w:val="26"/>
          <w:szCs w:val="26"/>
        </w:rPr>
        <w:t>TSC1</w:t>
      </w:r>
      <w:r w:rsidRPr="00C75A16">
        <w:rPr>
          <w:sz w:val="26"/>
          <w:szCs w:val="26"/>
          <w:rtl/>
        </w:rPr>
        <w:t xml:space="preserve"> על כרומוזום </w:t>
      </w:r>
      <w:r w:rsidRPr="00C75A16">
        <w:rPr>
          <w:sz w:val="26"/>
          <w:szCs w:val="26"/>
        </w:rPr>
        <w:t>9</w:t>
      </w:r>
      <w:r w:rsidRPr="00C75A16">
        <w:rPr>
          <w:sz w:val="26"/>
          <w:szCs w:val="26"/>
          <w:rtl/>
        </w:rPr>
        <w:t xml:space="preserve"> או </w:t>
      </w:r>
      <w:r w:rsidRPr="00C75A16">
        <w:rPr>
          <w:sz w:val="26"/>
          <w:szCs w:val="26"/>
        </w:rPr>
        <w:t>TSC2</w:t>
      </w:r>
      <w:r w:rsidRPr="00C75A16">
        <w:rPr>
          <w:sz w:val="26"/>
          <w:szCs w:val="26"/>
          <w:rtl/>
        </w:rPr>
        <w:t xml:space="preserve"> על כרומוזום </w:t>
      </w:r>
      <w:r w:rsidRPr="00C75A16">
        <w:rPr>
          <w:sz w:val="26"/>
          <w:szCs w:val="26"/>
        </w:rPr>
        <w:t>16</w:t>
      </w:r>
      <w:r w:rsidRPr="00C75A16">
        <w:rPr>
          <w:sz w:val="26"/>
          <w:szCs w:val="26"/>
          <w:rtl/>
        </w:rPr>
        <w:t xml:space="preserve">. המוטציה בגן </w:t>
      </w:r>
      <w:r w:rsidRPr="00C75A16">
        <w:rPr>
          <w:sz w:val="26"/>
          <w:szCs w:val="26"/>
        </w:rPr>
        <w:t>TSC1</w:t>
      </w:r>
      <w:r w:rsidRPr="00C75A16">
        <w:rPr>
          <w:sz w:val="26"/>
          <w:szCs w:val="26"/>
          <w:rtl/>
        </w:rPr>
        <w:t xml:space="preserve"> כפי שקיימת אצל עדן מביאה לרוב למחלת כליה קלה יותר, אם בכלל. מוטציות אלו יכולות להיות חדשות (כ-</w:t>
      </w:r>
      <w:r w:rsidRPr="00C75A16">
        <w:rPr>
          <w:sz w:val="26"/>
          <w:szCs w:val="26"/>
        </w:rPr>
        <w:t>70%</w:t>
      </w:r>
      <w:r w:rsidRPr="00C75A16">
        <w:rPr>
          <w:sz w:val="26"/>
          <w:szCs w:val="26"/>
          <w:rtl/>
        </w:rPr>
        <w:t xml:space="preserve"> מהמקרים) או מורשות מאחד ההורים (כ-</w:t>
      </w:r>
      <w:r w:rsidRPr="00C75A16">
        <w:rPr>
          <w:sz w:val="26"/>
          <w:szCs w:val="26"/>
        </w:rPr>
        <w:t>30%</w:t>
      </w:r>
      <w:r w:rsidRPr="00C75A16">
        <w:rPr>
          <w:sz w:val="26"/>
          <w:szCs w:val="26"/>
          <w:rtl/>
        </w:rPr>
        <w:t xml:space="preserve"> מהמקרים).</w:t>
      </w:r>
      <w:r w:rsidR="00237225">
        <w:rPr>
          <w:rFonts w:hint="cs"/>
          <w:sz w:val="26"/>
          <w:szCs w:val="26"/>
          <w:rtl/>
        </w:rPr>
        <w:t>..</w:t>
      </w:r>
    </w:p>
    <w:p w14:paraId="4E65C731" w14:textId="77777777" w:rsidR="00237225" w:rsidRDefault="00237225" w:rsidP="0028150B">
      <w:pPr>
        <w:pStyle w:val="a6"/>
        <w:ind w:left="709" w:right="799"/>
        <w:jc w:val="both"/>
        <w:rPr>
          <w:sz w:val="26"/>
          <w:szCs w:val="26"/>
          <w:rtl/>
        </w:rPr>
      </w:pPr>
    </w:p>
    <w:p w14:paraId="7AF520AC" w14:textId="2FDA4323" w:rsidR="00237225" w:rsidRDefault="00237225" w:rsidP="0028150B">
      <w:pPr>
        <w:pStyle w:val="a6"/>
        <w:ind w:left="709" w:right="799"/>
        <w:jc w:val="both"/>
        <w:rPr>
          <w:sz w:val="26"/>
          <w:szCs w:val="26"/>
          <w:rtl/>
        </w:rPr>
      </w:pPr>
      <w:bookmarkStart w:id="0" w:name="bookmark0"/>
      <w:r w:rsidRPr="00237225">
        <w:rPr>
          <w:sz w:val="26"/>
          <w:szCs w:val="26"/>
          <w:rtl/>
        </w:rPr>
        <w:t>ביטוי כלייתי שני, וקל יותר בחומרתו, הוא מחלת כליות ציסטית המתבטאת בהתפתחות של ציסטות בכליות, שיכולות להיות בודדות או מרובות. למרות ששני סוגי הנגעים הללו בדרך כלל שפירים, הם עלולים לפגוע בתפקוד הכלייתי אם הם גדלים משמעותית או מתרבים. כאמור, מחלת כליות ציסט ית ב-</w:t>
      </w:r>
      <w:r w:rsidRPr="00237225">
        <w:rPr>
          <w:sz w:val="26"/>
          <w:szCs w:val="26"/>
        </w:rPr>
        <w:t>TSC1</w:t>
      </w:r>
      <w:r w:rsidRPr="00237225">
        <w:rPr>
          <w:sz w:val="26"/>
          <w:szCs w:val="26"/>
          <w:rtl/>
        </w:rPr>
        <w:t xml:space="preserve"> , בדומה למקרה של עדן, היא לרוב קלה יחסית. מחלת כליות ציסטית חמורה יותר מופיעה כאשר יש פגיעה בשני גנים הגורמים למחלת כליה כרונית, כלומר פגיעה בגן </w:t>
      </w:r>
      <w:r w:rsidRPr="00237225">
        <w:rPr>
          <w:sz w:val="26"/>
          <w:szCs w:val="26"/>
        </w:rPr>
        <w:t>TSC2</w:t>
      </w:r>
      <w:r w:rsidRPr="00237225">
        <w:rPr>
          <w:sz w:val="26"/>
          <w:szCs w:val="26"/>
          <w:rtl/>
        </w:rPr>
        <w:t xml:space="preserve"> ופגיעה בגן נוסף הנמצא בסמוך המכונה </w:t>
      </w:r>
      <w:r w:rsidRPr="00237225">
        <w:rPr>
          <w:sz w:val="26"/>
          <w:szCs w:val="26"/>
        </w:rPr>
        <w:t>PKD1</w:t>
      </w:r>
      <w:r w:rsidRPr="00237225">
        <w:rPr>
          <w:sz w:val="26"/>
          <w:szCs w:val="26"/>
          <w:rtl/>
        </w:rPr>
        <w:t>. מצב זה אינו קיים אצל עדן.</w:t>
      </w:r>
      <w:bookmarkEnd w:id="0"/>
      <w:r>
        <w:rPr>
          <w:rFonts w:hint="cs"/>
          <w:sz w:val="26"/>
          <w:szCs w:val="26"/>
          <w:rtl/>
        </w:rPr>
        <w:t>..</w:t>
      </w:r>
    </w:p>
    <w:p w14:paraId="4E6BC230" w14:textId="77777777" w:rsidR="00237225" w:rsidRDefault="00237225" w:rsidP="0028150B">
      <w:pPr>
        <w:pStyle w:val="a6"/>
        <w:ind w:left="709" w:right="799"/>
        <w:jc w:val="both"/>
        <w:rPr>
          <w:sz w:val="26"/>
          <w:szCs w:val="26"/>
          <w:rtl/>
        </w:rPr>
      </w:pPr>
    </w:p>
    <w:p w14:paraId="3E95A179" w14:textId="151D9EC8" w:rsidR="00237225" w:rsidRDefault="00237225" w:rsidP="0028150B">
      <w:pPr>
        <w:pStyle w:val="a6"/>
        <w:ind w:left="709" w:right="799"/>
        <w:jc w:val="both"/>
        <w:rPr>
          <w:sz w:val="26"/>
          <w:szCs w:val="26"/>
          <w:rtl/>
        </w:rPr>
      </w:pPr>
      <w:r w:rsidRPr="00237225">
        <w:rPr>
          <w:sz w:val="26"/>
          <w:szCs w:val="26"/>
          <w:rtl/>
        </w:rPr>
        <w:t>לסיכום, הגעה למצב דיאליזה ב-</w:t>
      </w:r>
      <w:r w:rsidRPr="00237225">
        <w:rPr>
          <w:sz w:val="26"/>
          <w:szCs w:val="26"/>
        </w:rPr>
        <w:t>TSC</w:t>
      </w:r>
      <w:r w:rsidRPr="00237225">
        <w:rPr>
          <w:sz w:val="26"/>
          <w:szCs w:val="26"/>
          <w:rtl/>
        </w:rPr>
        <w:t xml:space="preserve"> הוא מצב נדיר, הקשור לגידולים שפירים בכליה שהביאו לפגיעה בגודל הכליה בין היתר בשל פרוצדורות חוזרות או מצבים של ירידה הדרגתית ואיטית במספר הנפרונים בכליה שמביאים לכליות קטנות עם מצב פתולוגי של </w:t>
      </w:r>
      <w:r w:rsidRPr="00237225">
        <w:rPr>
          <w:sz w:val="26"/>
          <w:szCs w:val="26"/>
        </w:rPr>
        <w:t>FSGS</w:t>
      </w:r>
      <w:r w:rsidRPr="00237225">
        <w:rPr>
          <w:sz w:val="26"/>
          <w:szCs w:val="26"/>
          <w:rtl/>
        </w:rPr>
        <w:t xml:space="preserve"> שלא הודגם במצב זה.</w:t>
      </w:r>
      <w:r>
        <w:rPr>
          <w:rFonts w:hint="cs"/>
          <w:sz w:val="26"/>
          <w:szCs w:val="26"/>
          <w:rtl/>
        </w:rPr>
        <w:t>.."</w:t>
      </w:r>
    </w:p>
    <w:p w14:paraId="2503FCE0" w14:textId="77777777" w:rsidR="00237225" w:rsidRDefault="00237225" w:rsidP="00237225">
      <w:pPr>
        <w:pStyle w:val="a6"/>
        <w:ind w:left="374"/>
        <w:jc w:val="both"/>
        <w:rPr>
          <w:sz w:val="26"/>
          <w:szCs w:val="26"/>
          <w:rtl/>
        </w:rPr>
      </w:pPr>
    </w:p>
    <w:p w14:paraId="629F3A8F" w14:textId="2DB352E2" w:rsidR="00237225" w:rsidRPr="00237225" w:rsidRDefault="00237225" w:rsidP="00237225">
      <w:pPr>
        <w:pStyle w:val="a6"/>
        <w:ind w:left="374"/>
        <w:jc w:val="both"/>
        <w:rPr>
          <w:sz w:val="26"/>
          <w:szCs w:val="26"/>
        </w:rPr>
      </w:pPr>
      <w:r>
        <w:rPr>
          <w:rFonts w:hint="cs"/>
          <w:sz w:val="26"/>
          <w:szCs w:val="26"/>
          <w:rtl/>
        </w:rPr>
        <w:t xml:space="preserve">(עמ' 6 </w:t>
      </w:r>
      <w:r>
        <w:rPr>
          <w:sz w:val="26"/>
          <w:szCs w:val="26"/>
          <w:rtl/>
        </w:rPr>
        <w:t>–</w:t>
      </w:r>
      <w:r>
        <w:rPr>
          <w:rFonts w:hint="cs"/>
          <w:sz w:val="26"/>
          <w:szCs w:val="26"/>
          <w:rtl/>
        </w:rPr>
        <w:t xml:space="preserve"> 7 לחוות דעת המומחה מטעמה של המערערת)</w:t>
      </w:r>
    </w:p>
    <w:p w14:paraId="4897B4D2" w14:textId="0D606C70" w:rsidR="00237225" w:rsidRPr="00237225" w:rsidRDefault="00237225" w:rsidP="00237225">
      <w:pPr>
        <w:pStyle w:val="a6"/>
        <w:ind w:left="374"/>
        <w:jc w:val="both"/>
        <w:rPr>
          <w:sz w:val="26"/>
          <w:szCs w:val="26"/>
        </w:rPr>
      </w:pPr>
    </w:p>
    <w:p w14:paraId="23F32183" w14:textId="6BB0F2AC" w:rsidR="00237225" w:rsidRDefault="00237225" w:rsidP="00A21141">
      <w:pPr>
        <w:pStyle w:val="a6"/>
        <w:numPr>
          <w:ilvl w:val="0"/>
          <w:numId w:val="14"/>
        </w:numPr>
        <w:ind w:left="374" w:hanging="567"/>
        <w:jc w:val="both"/>
        <w:rPr>
          <w:sz w:val="26"/>
          <w:szCs w:val="26"/>
        </w:rPr>
      </w:pPr>
      <w:r>
        <w:rPr>
          <w:rFonts w:hint="cs"/>
          <w:sz w:val="26"/>
          <w:szCs w:val="26"/>
          <w:rtl/>
        </w:rPr>
        <w:t>המומחה מוסיף ומנמק בפרק הדיון כדלקמן:</w:t>
      </w:r>
    </w:p>
    <w:p w14:paraId="1B985120" w14:textId="77777777" w:rsidR="00237225" w:rsidRDefault="00237225" w:rsidP="00C75A16">
      <w:pPr>
        <w:pStyle w:val="a6"/>
        <w:ind w:left="374"/>
        <w:jc w:val="both"/>
        <w:rPr>
          <w:sz w:val="26"/>
          <w:szCs w:val="26"/>
          <w:rtl/>
        </w:rPr>
      </w:pPr>
    </w:p>
    <w:p w14:paraId="33A456B6" w14:textId="68A788B6" w:rsidR="00237225" w:rsidRDefault="00237225" w:rsidP="0028150B">
      <w:pPr>
        <w:pStyle w:val="a6"/>
        <w:ind w:left="657" w:right="993"/>
        <w:jc w:val="both"/>
        <w:rPr>
          <w:sz w:val="26"/>
          <w:szCs w:val="26"/>
          <w:rtl/>
        </w:rPr>
      </w:pPr>
      <w:r w:rsidRPr="00383A9F">
        <w:rPr>
          <w:rFonts w:hint="cs"/>
          <w:b/>
          <w:bCs/>
          <w:sz w:val="26"/>
          <w:szCs w:val="26"/>
          <w:rtl/>
        </w:rPr>
        <w:t>"</w:t>
      </w:r>
      <w:r w:rsidRPr="00383A9F">
        <w:rPr>
          <w:b/>
          <w:bCs/>
          <w:sz w:val="26"/>
          <w:szCs w:val="26"/>
          <w:rtl/>
        </w:rPr>
        <w:t xml:space="preserve">ראשית, המוטציה בגן </w:t>
      </w:r>
      <w:r w:rsidRPr="00383A9F">
        <w:rPr>
          <w:b/>
          <w:bCs/>
          <w:sz w:val="26"/>
          <w:szCs w:val="26"/>
        </w:rPr>
        <w:t>TSC1</w:t>
      </w:r>
      <w:r w:rsidRPr="00383A9F">
        <w:rPr>
          <w:b/>
          <w:bCs/>
          <w:sz w:val="26"/>
          <w:szCs w:val="26"/>
          <w:rtl/>
        </w:rPr>
        <w:t xml:space="preserve"> שנמצאה אצל עדן מקושרת בדרך כלל למחלת כליה קלה יותר, אם בכלל. הביטויים הכלייתיים האופייניים ל-</w:t>
      </w:r>
      <w:r w:rsidRPr="00383A9F">
        <w:rPr>
          <w:b/>
          <w:bCs/>
          <w:sz w:val="26"/>
          <w:szCs w:val="26"/>
        </w:rPr>
        <w:t>TSC</w:t>
      </w:r>
      <w:r w:rsidRPr="00383A9F">
        <w:rPr>
          <w:b/>
          <w:bCs/>
          <w:sz w:val="26"/>
          <w:szCs w:val="26"/>
          <w:rtl/>
        </w:rPr>
        <w:t>, כמו אנגיומיוליפומות (</w:t>
      </w:r>
      <w:r w:rsidRPr="00383A9F">
        <w:rPr>
          <w:b/>
          <w:bCs/>
          <w:sz w:val="26"/>
          <w:szCs w:val="26"/>
        </w:rPr>
        <w:t>AML</w:t>
      </w:r>
      <w:r w:rsidRPr="00383A9F">
        <w:rPr>
          <w:b/>
          <w:bCs/>
          <w:sz w:val="26"/>
          <w:szCs w:val="26"/>
          <w:rtl/>
        </w:rPr>
        <w:t xml:space="preserve">) ומחלת כליות ציסטית חמורה, לא נמצאו אצל עדן בבדיקות ההדמיה. יתרה מזאת, הגעה למצב דיאליזה בחולי </w:t>
      </w:r>
      <w:r w:rsidRPr="00383A9F">
        <w:rPr>
          <w:b/>
          <w:bCs/>
          <w:sz w:val="26"/>
          <w:szCs w:val="26"/>
        </w:rPr>
        <w:t>TSC</w:t>
      </w:r>
      <w:r w:rsidRPr="00383A9F">
        <w:rPr>
          <w:b/>
          <w:bCs/>
          <w:sz w:val="26"/>
          <w:szCs w:val="26"/>
          <w:rtl/>
        </w:rPr>
        <w:t xml:space="preserve"> היא נדירה מאוד, כאשר מחקרים מראים ששיעור הדיאליזה במטופלים אלו עומד על כ-</w:t>
      </w:r>
      <w:r w:rsidRPr="00383A9F">
        <w:rPr>
          <w:b/>
          <w:bCs/>
          <w:sz w:val="26"/>
          <w:szCs w:val="26"/>
        </w:rPr>
        <w:t>1%</w:t>
      </w:r>
      <w:r w:rsidRPr="00383A9F">
        <w:rPr>
          <w:b/>
          <w:bCs/>
          <w:sz w:val="26"/>
          <w:szCs w:val="26"/>
          <w:rtl/>
        </w:rPr>
        <w:t xml:space="preserve"> בלבד, ובדרך כלל מתרחשת בגיל מבוגר יותר ולאחר פרוצדורות רפואיות חוזרות.</w:t>
      </w:r>
      <w:r w:rsidR="00383A9F">
        <w:rPr>
          <w:rStyle w:val="a9"/>
          <w:sz w:val="26"/>
          <w:szCs w:val="26"/>
          <w:rtl/>
        </w:rPr>
        <w:footnoteReference w:id="1"/>
      </w:r>
    </w:p>
    <w:p w14:paraId="0EA2BF97" w14:textId="77777777" w:rsidR="00237225" w:rsidRPr="00237225" w:rsidRDefault="00237225" w:rsidP="0028150B">
      <w:pPr>
        <w:pStyle w:val="a6"/>
        <w:ind w:left="657" w:right="993"/>
        <w:jc w:val="both"/>
        <w:rPr>
          <w:sz w:val="26"/>
          <w:szCs w:val="26"/>
        </w:rPr>
      </w:pPr>
    </w:p>
    <w:p w14:paraId="112F6092" w14:textId="5CBBD7D5" w:rsidR="00237225" w:rsidRDefault="00237225" w:rsidP="0028150B">
      <w:pPr>
        <w:pStyle w:val="a6"/>
        <w:ind w:left="657" w:right="993"/>
        <w:jc w:val="both"/>
        <w:rPr>
          <w:sz w:val="26"/>
          <w:szCs w:val="26"/>
          <w:rtl/>
        </w:rPr>
      </w:pPr>
      <w:r w:rsidRPr="00237225">
        <w:rPr>
          <w:sz w:val="26"/>
          <w:szCs w:val="26"/>
          <w:rtl/>
        </w:rPr>
        <w:lastRenderedPageBreak/>
        <w:t>שנית, הממצאים הקליניים והפתולוגיים אצל עדן מצביעים בבירור על דלקת במשתית הכליה (</w:t>
      </w:r>
      <w:r w:rsidRPr="00237225">
        <w:rPr>
          <w:sz w:val="26"/>
          <w:szCs w:val="26"/>
        </w:rPr>
        <w:t>AIN</w:t>
      </w:r>
      <w:r w:rsidRPr="00237225">
        <w:rPr>
          <w:sz w:val="26"/>
          <w:szCs w:val="26"/>
          <w:rtl/>
        </w:rPr>
        <w:t>), שהיא תוצאה אופיינית של חשיפה לתרופות אנט י-דלקתיות כמו וולטרן, שעדן קיבלה במהלך שירותה הצבאי. הביופסיה הראתה נזק כרוני יחד עם תהליך דלקתי חריף, וכן נוכחות של תאים אאוזינופילים האופייניים לפגיעה מתרופות. בנוסף, התסמינים והממצאים הקליניים, כמו כליות מוגדל ות ואקוגניות,</w:t>
      </w:r>
      <w:r w:rsidRPr="00237225">
        <w:rPr>
          <w:rFonts w:ascii="Calibri" w:hAnsi="Calibri" w:cs="Calibri"/>
          <w:color w:val="000000"/>
          <w:rtl/>
        </w:rPr>
        <w:t xml:space="preserve"> </w:t>
      </w:r>
      <w:r w:rsidRPr="00237225">
        <w:rPr>
          <w:sz w:val="26"/>
          <w:szCs w:val="26"/>
          <w:rtl/>
        </w:rPr>
        <w:t xml:space="preserve">גלילים בשתן, והשתנה מרובה, תואמים יותר לאבחנה של </w:t>
      </w:r>
      <w:r w:rsidRPr="00237225">
        <w:rPr>
          <w:sz w:val="26"/>
          <w:szCs w:val="26"/>
        </w:rPr>
        <w:t>AIN</w:t>
      </w:r>
      <w:r w:rsidRPr="00237225">
        <w:rPr>
          <w:sz w:val="26"/>
          <w:szCs w:val="26"/>
          <w:rtl/>
        </w:rPr>
        <w:t xml:space="preserve"> מאשר לפגיעה כלייתית אופיינית ל- </w:t>
      </w:r>
      <w:r w:rsidRPr="00237225">
        <w:rPr>
          <w:sz w:val="26"/>
          <w:szCs w:val="26"/>
        </w:rPr>
        <w:t>TSC</w:t>
      </w:r>
      <w:r w:rsidRPr="00237225">
        <w:rPr>
          <w:sz w:val="26"/>
          <w:szCs w:val="26"/>
          <w:rtl/>
        </w:rPr>
        <w:t xml:space="preserve">. לכן, סביר יותר להניח שהגורם העיקרי לכשל הכלייתי של עדן היה החשיפה לתרופות במהלך שירותה הצבאי, ולא המחלה הגנטית בלבד. </w:t>
      </w:r>
      <w:r w:rsidRPr="00383A9F">
        <w:rPr>
          <w:b/>
          <w:bCs/>
          <w:sz w:val="26"/>
          <w:szCs w:val="26"/>
          <w:rtl/>
        </w:rPr>
        <w:t>לאורך כל המסמכים הרפואיים מצויין שזו האבחנה הסבירה כולל בהפניות לביופסיה ודיווחי הנפרולוגים ולכן תמוה בעיניי מאוד שנקבע כי לא סביר כי זאת הסיבה לפגיעה הכלייתית אלא המחלה הגנטית הגורמים במקרים נדירים ביותר ולרוב במקרים מבוגרים וממושכים למחלת כליה המביאה לצורך בדיאליזה ולהשתלה</w:t>
      </w:r>
      <w:r w:rsidRPr="00237225">
        <w:rPr>
          <w:sz w:val="26"/>
          <w:szCs w:val="26"/>
          <w:rtl/>
        </w:rPr>
        <w:t>.</w:t>
      </w:r>
      <w:r>
        <w:rPr>
          <w:rFonts w:hint="cs"/>
          <w:sz w:val="26"/>
          <w:szCs w:val="26"/>
          <w:rtl/>
        </w:rPr>
        <w:t>"</w:t>
      </w:r>
    </w:p>
    <w:p w14:paraId="075D240B" w14:textId="77777777" w:rsidR="00237225" w:rsidRDefault="00237225" w:rsidP="00237225">
      <w:pPr>
        <w:pStyle w:val="a6"/>
        <w:ind w:left="374"/>
        <w:jc w:val="both"/>
        <w:rPr>
          <w:sz w:val="26"/>
          <w:szCs w:val="26"/>
          <w:rtl/>
        </w:rPr>
      </w:pPr>
    </w:p>
    <w:p w14:paraId="7893E8E0" w14:textId="26CA0172" w:rsidR="00237225" w:rsidRPr="00237225" w:rsidRDefault="00237225" w:rsidP="00237225">
      <w:pPr>
        <w:pStyle w:val="a6"/>
        <w:ind w:left="374"/>
        <w:jc w:val="both"/>
        <w:rPr>
          <w:sz w:val="26"/>
          <w:szCs w:val="26"/>
        </w:rPr>
      </w:pPr>
      <w:r>
        <w:rPr>
          <w:rFonts w:hint="cs"/>
          <w:sz w:val="26"/>
          <w:szCs w:val="26"/>
          <w:rtl/>
        </w:rPr>
        <w:t xml:space="preserve">(עמ' 7 </w:t>
      </w:r>
      <w:r>
        <w:rPr>
          <w:sz w:val="26"/>
          <w:szCs w:val="26"/>
          <w:rtl/>
        </w:rPr>
        <w:t>–</w:t>
      </w:r>
      <w:r>
        <w:rPr>
          <w:rFonts w:hint="cs"/>
          <w:sz w:val="26"/>
          <w:szCs w:val="26"/>
          <w:rtl/>
        </w:rPr>
        <w:t xml:space="preserve"> 8 לחוות דעת המומחה).</w:t>
      </w:r>
    </w:p>
    <w:p w14:paraId="429F5EC8" w14:textId="61987710" w:rsidR="00237225" w:rsidRPr="00237225" w:rsidRDefault="00237225" w:rsidP="00237225">
      <w:pPr>
        <w:pStyle w:val="a6"/>
        <w:ind w:left="374"/>
        <w:jc w:val="both"/>
        <w:rPr>
          <w:sz w:val="26"/>
          <w:szCs w:val="26"/>
        </w:rPr>
      </w:pPr>
    </w:p>
    <w:p w14:paraId="4A623EE9" w14:textId="7A0F4192" w:rsidR="0090390B" w:rsidRPr="0090390B" w:rsidRDefault="0090390B" w:rsidP="0090390B">
      <w:pPr>
        <w:pStyle w:val="a6"/>
        <w:ind w:left="374"/>
        <w:jc w:val="both"/>
        <w:rPr>
          <w:sz w:val="26"/>
          <w:szCs w:val="26"/>
          <w:u w:val="single"/>
        </w:rPr>
      </w:pPr>
      <w:r w:rsidRPr="0090390B">
        <w:rPr>
          <w:rFonts w:hint="cs"/>
          <w:sz w:val="26"/>
          <w:szCs w:val="26"/>
          <w:u w:val="single"/>
          <w:rtl/>
        </w:rPr>
        <w:t>התייחסות המומחה מטעמה של המערערת לחוות דעתה של מומחית המשיב</w:t>
      </w:r>
    </w:p>
    <w:p w14:paraId="1177420A" w14:textId="273FD901" w:rsidR="00237225" w:rsidRDefault="00237225" w:rsidP="00A21141">
      <w:pPr>
        <w:pStyle w:val="a6"/>
        <w:numPr>
          <w:ilvl w:val="0"/>
          <w:numId w:val="14"/>
        </w:numPr>
        <w:ind w:left="374" w:hanging="567"/>
        <w:jc w:val="both"/>
        <w:rPr>
          <w:sz w:val="26"/>
          <w:szCs w:val="26"/>
        </w:rPr>
      </w:pPr>
      <w:r>
        <w:rPr>
          <w:rFonts w:hint="cs"/>
          <w:sz w:val="26"/>
          <w:szCs w:val="26"/>
          <w:rtl/>
        </w:rPr>
        <w:t>בניגוד לקביעות המומחית מטעמו של המשיב, ובהלימה לתיעוד הרפואי שניתן למערערת בזמן הטיפול שניתן לה בזמן אמת,  התמונה הקלינית, המעבדתית וההיסטולוגית מתאימה במידה רבה למחלת דלקת אינטרסטיציאלית (</w:t>
      </w:r>
      <w:r>
        <w:rPr>
          <w:sz w:val="26"/>
          <w:szCs w:val="26"/>
        </w:rPr>
        <w:t>AIN</w:t>
      </w:r>
      <w:r>
        <w:rPr>
          <w:rFonts w:hint="cs"/>
          <w:sz w:val="26"/>
          <w:szCs w:val="26"/>
          <w:rtl/>
        </w:rPr>
        <w:t xml:space="preserve">). </w:t>
      </w:r>
    </w:p>
    <w:p w14:paraId="286AB3F0" w14:textId="77777777" w:rsidR="00237225" w:rsidRDefault="00237225" w:rsidP="00237225">
      <w:pPr>
        <w:pStyle w:val="a6"/>
        <w:ind w:left="374"/>
        <w:jc w:val="both"/>
        <w:rPr>
          <w:sz w:val="26"/>
          <w:szCs w:val="26"/>
        </w:rPr>
      </w:pPr>
    </w:p>
    <w:p w14:paraId="76D5EA58" w14:textId="4B484B31" w:rsidR="00237225" w:rsidRDefault="007158E0" w:rsidP="00A21141">
      <w:pPr>
        <w:pStyle w:val="a6"/>
        <w:numPr>
          <w:ilvl w:val="0"/>
          <w:numId w:val="14"/>
        </w:numPr>
        <w:ind w:left="374" w:hanging="567"/>
        <w:jc w:val="both"/>
        <w:rPr>
          <w:sz w:val="26"/>
          <w:szCs w:val="26"/>
        </w:rPr>
      </w:pPr>
      <w:r>
        <w:rPr>
          <w:rFonts w:hint="cs"/>
          <w:sz w:val="26"/>
          <w:szCs w:val="26"/>
          <w:rtl/>
        </w:rPr>
        <w:t>טעות נוספת מצידה של המומחית מטעמו של המשיב, לשיטתה, המערערת לא לקתה בדלקת חריפה הינה ללא ביסוס ובאופן שרירותי לחלוטין שהרי אין מחלוקת שלא בוצעו למערערת בדיקות דם ושתן לצורך ניטור ומעקב, ומכאן היעדר היכולת לבסס טענה שכזאת. הדבר מקבל משנה תוקף בהינתן שמצב הדברים אחר לחלוטין, המערערת טופלה באמצעות שתי זריקות וולטרן, בנוסף, לטיפול תרופתי פומי רב, בניגוד לסטנדרט ובאופן שמסכן את תפקוד הכליות ומצריך ניטור ומעקב.</w:t>
      </w:r>
    </w:p>
    <w:p w14:paraId="33767A4E" w14:textId="77777777" w:rsidR="007158E0" w:rsidRPr="007158E0" w:rsidRDefault="007158E0" w:rsidP="007158E0">
      <w:pPr>
        <w:pStyle w:val="a6"/>
        <w:rPr>
          <w:sz w:val="26"/>
          <w:szCs w:val="26"/>
          <w:rtl/>
        </w:rPr>
      </w:pPr>
    </w:p>
    <w:p w14:paraId="63B1B4EB" w14:textId="08D91B8C" w:rsidR="007158E0" w:rsidRDefault="0090390B" w:rsidP="00A21141">
      <w:pPr>
        <w:pStyle w:val="a6"/>
        <w:numPr>
          <w:ilvl w:val="0"/>
          <w:numId w:val="14"/>
        </w:numPr>
        <w:ind w:left="374" w:hanging="567"/>
        <w:jc w:val="both"/>
        <w:rPr>
          <w:sz w:val="26"/>
          <w:szCs w:val="26"/>
        </w:rPr>
      </w:pPr>
      <w:r>
        <w:rPr>
          <w:rFonts w:hint="cs"/>
          <w:sz w:val="26"/>
          <w:szCs w:val="26"/>
          <w:rtl/>
        </w:rPr>
        <w:t xml:space="preserve">טעה המשיב בכך </w:t>
      </w:r>
      <w:r w:rsidR="002D2F9E">
        <w:rPr>
          <w:rFonts w:hint="cs"/>
          <w:sz w:val="26"/>
          <w:szCs w:val="26"/>
          <w:rtl/>
        </w:rPr>
        <w:t>שבחר</w:t>
      </w:r>
      <w:r>
        <w:rPr>
          <w:rFonts w:hint="cs"/>
          <w:sz w:val="26"/>
          <w:szCs w:val="26"/>
          <w:rtl/>
        </w:rPr>
        <w:t xml:space="preserve"> לייחס את המחלה הכלייתית והנזק שנגרם כתוצאה ממנה למחלת ה-</w:t>
      </w:r>
      <w:r>
        <w:rPr>
          <w:sz w:val="26"/>
          <w:szCs w:val="26"/>
        </w:rPr>
        <w:t>TSC</w:t>
      </w:r>
      <w:r>
        <w:rPr>
          <w:rFonts w:hint="cs"/>
          <w:sz w:val="26"/>
          <w:szCs w:val="26"/>
          <w:rtl/>
        </w:rPr>
        <w:t>. כן, טעתה המומחית מטעמו של המשיב בכך שקבעה שהנזק הכלייתי נובע מהמחלה ולא מההתנהלות הרשלנית של הצבא והלעטת המערערת בתרופות שגורמות לנזק כלייתי.</w:t>
      </w:r>
    </w:p>
    <w:p w14:paraId="56846F5B" w14:textId="77777777" w:rsidR="0090390B" w:rsidRPr="0090390B" w:rsidRDefault="0090390B" w:rsidP="0090390B">
      <w:pPr>
        <w:pStyle w:val="a6"/>
        <w:rPr>
          <w:rFonts w:hint="cs"/>
          <w:sz w:val="26"/>
          <w:szCs w:val="26"/>
          <w:rtl/>
        </w:rPr>
      </w:pPr>
    </w:p>
    <w:p w14:paraId="4265CD5E" w14:textId="710E5520" w:rsidR="0090390B" w:rsidRDefault="0090390B" w:rsidP="00A21141">
      <w:pPr>
        <w:pStyle w:val="a6"/>
        <w:numPr>
          <w:ilvl w:val="0"/>
          <w:numId w:val="14"/>
        </w:numPr>
        <w:ind w:left="374" w:hanging="567"/>
        <w:jc w:val="both"/>
        <w:rPr>
          <w:sz w:val="26"/>
          <w:szCs w:val="26"/>
        </w:rPr>
      </w:pPr>
      <w:r>
        <w:rPr>
          <w:rFonts w:hint="cs"/>
          <w:sz w:val="26"/>
          <w:szCs w:val="26"/>
          <w:rtl/>
        </w:rPr>
        <w:t>המומחה מטעמה של המערערת מתייחס לכך וקובע כדלקמן:</w:t>
      </w:r>
    </w:p>
    <w:p w14:paraId="047BB398" w14:textId="77777777" w:rsidR="0090390B" w:rsidRPr="0090390B" w:rsidRDefault="0090390B" w:rsidP="0090390B">
      <w:pPr>
        <w:pStyle w:val="a6"/>
        <w:rPr>
          <w:rFonts w:hint="cs"/>
          <w:sz w:val="26"/>
          <w:szCs w:val="26"/>
          <w:rtl/>
        </w:rPr>
      </w:pPr>
    </w:p>
    <w:p w14:paraId="57328F14" w14:textId="50689058" w:rsidR="00BB0D3B" w:rsidRDefault="00BB0D3B" w:rsidP="0028150B">
      <w:pPr>
        <w:pStyle w:val="a6"/>
        <w:ind w:left="657" w:right="993"/>
        <w:jc w:val="both"/>
        <w:rPr>
          <w:b/>
          <w:bCs/>
          <w:sz w:val="26"/>
          <w:szCs w:val="26"/>
          <w:rtl/>
        </w:rPr>
      </w:pPr>
      <w:r>
        <w:rPr>
          <w:rFonts w:hint="cs"/>
          <w:sz w:val="26"/>
          <w:szCs w:val="26"/>
          <w:rtl/>
        </w:rPr>
        <w:t>"</w:t>
      </w:r>
      <w:r w:rsidR="0090390B" w:rsidRPr="0090390B">
        <w:rPr>
          <w:sz w:val="26"/>
          <w:szCs w:val="26"/>
          <w:rtl/>
        </w:rPr>
        <w:t>מחלת כליות ציסטית והקשר ל-</w:t>
      </w:r>
      <w:r w:rsidR="0090390B" w:rsidRPr="0090390B">
        <w:rPr>
          <w:sz w:val="26"/>
          <w:szCs w:val="26"/>
        </w:rPr>
        <w:t>TSC</w:t>
      </w:r>
      <w:r w:rsidR="0090390B" w:rsidRPr="0090390B">
        <w:rPr>
          <w:sz w:val="26"/>
          <w:szCs w:val="26"/>
          <w:rtl/>
        </w:rPr>
        <w:t xml:space="preserve">: פרופסור ויינשטיין מציינת נכונה כי מחלת הכליות הציסטית היא בדרך כלל מחלה איטית, ושלרוב מתגלים סימנים של </w:t>
      </w:r>
      <w:r w:rsidR="0090390B" w:rsidRPr="0090390B">
        <w:rPr>
          <w:sz w:val="26"/>
          <w:szCs w:val="26"/>
        </w:rPr>
        <w:t>FSGS</w:t>
      </w:r>
      <w:r w:rsidR="0090390B" w:rsidRPr="0090390B">
        <w:rPr>
          <w:sz w:val="26"/>
          <w:szCs w:val="26"/>
          <w:rtl/>
        </w:rPr>
        <w:t xml:space="preserve"> בביופסיה עקב איבוד הדרגתי</w:t>
      </w:r>
      <w:r w:rsidR="0090390B">
        <w:rPr>
          <w:rFonts w:hint="cs"/>
          <w:sz w:val="26"/>
          <w:szCs w:val="26"/>
          <w:rtl/>
        </w:rPr>
        <w:t xml:space="preserve"> </w:t>
      </w:r>
      <w:r w:rsidR="0090390B" w:rsidRPr="0090390B">
        <w:rPr>
          <w:sz w:val="26"/>
          <w:szCs w:val="26"/>
          <w:rtl/>
        </w:rPr>
        <w:t>של נפרונים</w:t>
      </w:r>
      <w:r w:rsidR="0090390B" w:rsidRPr="0090390B">
        <w:rPr>
          <w:b/>
          <w:bCs/>
          <w:sz w:val="26"/>
          <w:szCs w:val="26"/>
          <w:rtl/>
        </w:rPr>
        <w:t xml:space="preserve">. אולם, חשוב להדגיש כי ממצאים אלו לא הופיעו כלל בביופסיה של המטופלת. יתרה מזאת, הופעה של כשל כלייתי בגיל כה צעיר כתוצאה ממחלת </w:t>
      </w:r>
      <w:r w:rsidR="0090390B" w:rsidRPr="0090390B">
        <w:rPr>
          <w:b/>
          <w:bCs/>
          <w:sz w:val="26"/>
          <w:szCs w:val="26"/>
        </w:rPr>
        <w:t>TSC</w:t>
      </w:r>
      <w:r w:rsidR="0090390B" w:rsidRPr="0090390B">
        <w:rPr>
          <w:b/>
          <w:bCs/>
          <w:sz w:val="26"/>
          <w:szCs w:val="26"/>
          <w:rtl/>
        </w:rPr>
        <w:t xml:space="preserve"> בלבד היא תופעה נדירה ביותר ואינה אופיינית. הפרופסורית מסתמכת על דיווח של שני מקרים בודדים בספרות המקצועית, אך חשוב לציין כי במקרים אלו נשללו ביטויים של חשיפה המתאימה לדלקת חריפה במשתית, בניגוד למקרה הנוכחי.</w:t>
      </w:r>
      <w:r>
        <w:rPr>
          <w:rFonts w:hint="cs"/>
          <w:b/>
          <w:bCs/>
          <w:sz w:val="26"/>
          <w:szCs w:val="26"/>
          <w:rtl/>
        </w:rPr>
        <w:t xml:space="preserve"> </w:t>
      </w:r>
      <w:r w:rsidRPr="00BB0D3B">
        <w:rPr>
          <w:rFonts w:hint="cs"/>
          <w:b/>
          <w:bCs/>
          <w:sz w:val="26"/>
          <w:szCs w:val="26"/>
          <w:rtl/>
        </w:rPr>
        <w:t xml:space="preserve">(ההדגשות לא במקור </w:t>
      </w:r>
      <w:r w:rsidRPr="00BB0D3B">
        <w:rPr>
          <w:b/>
          <w:bCs/>
          <w:sz w:val="26"/>
          <w:szCs w:val="26"/>
          <w:rtl/>
        </w:rPr>
        <w:t>–</w:t>
      </w:r>
      <w:r w:rsidRPr="00BB0D3B">
        <w:rPr>
          <w:rFonts w:hint="cs"/>
          <w:b/>
          <w:bCs/>
          <w:sz w:val="26"/>
          <w:szCs w:val="26"/>
          <w:rtl/>
        </w:rPr>
        <w:t xml:space="preserve"> הח"מ)</w:t>
      </w:r>
    </w:p>
    <w:p w14:paraId="16969DE8" w14:textId="77777777" w:rsidR="00BB0D3B" w:rsidRDefault="00BB0D3B" w:rsidP="00BB0D3B">
      <w:pPr>
        <w:pStyle w:val="a6"/>
        <w:ind w:left="374"/>
        <w:jc w:val="both"/>
        <w:rPr>
          <w:b/>
          <w:bCs/>
          <w:sz w:val="26"/>
          <w:szCs w:val="26"/>
          <w:rtl/>
        </w:rPr>
      </w:pPr>
    </w:p>
    <w:p w14:paraId="70871CFB" w14:textId="2E488B4C" w:rsidR="00BB0D3B" w:rsidRPr="00BB0D3B" w:rsidRDefault="00BB0D3B" w:rsidP="00BB0D3B">
      <w:pPr>
        <w:pStyle w:val="a6"/>
        <w:ind w:left="374"/>
        <w:jc w:val="both"/>
        <w:rPr>
          <w:sz w:val="26"/>
          <w:szCs w:val="26"/>
        </w:rPr>
      </w:pPr>
      <w:r>
        <w:rPr>
          <w:rFonts w:hint="cs"/>
          <w:sz w:val="26"/>
          <w:szCs w:val="26"/>
          <w:rtl/>
        </w:rPr>
        <w:lastRenderedPageBreak/>
        <w:t>עמ' 9 לחוות דעת המומחה מטעמה של המערערת.</w:t>
      </w:r>
    </w:p>
    <w:p w14:paraId="0350BA6F" w14:textId="77777777" w:rsidR="00C75A16" w:rsidRPr="00C75A16" w:rsidRDefault="00C75A16" w:rsidP="00C75A16">
      <w:pPr>
        <w:pStyle w:val="a6"/>
        <w:ind w:left="374"/>
        <w:jc w:val="both"/>
        <w:rPr>
          <w:sz w:val="26"/>
          <w:szCs w:val="26"/>
        </w:rPr>
      </w:pPr>
    </w:p>
    <w:p w14:paraId="687019D4" w14:textId="77777777" w:rsidR="00442BD8" w:rsidRPr="00442BD8" w:rsidRDefault="00442BD8" w:rsidP="00442BD8">
      <w:pPr>
        <w:pStyle w:val="a6"/>
        <w:rPr>
          <w:sz w:val="26"/>
          <w:szCs w:val="26"/>
          <w:rtl/>
        </w:rPr>
      </w:pPr>
    </w:p>
    <w:p w14:paraId="1CE3C102" w14:textId="176A6A09" w:rsidR="00442BD8" w:rsidRDefault="00BB0D3B" w:rsidP="00A21141">
      <w:pPr>
        <w:pStyle w:val="a6"/>
        <w:numPr>
          <w:ilvl w:val="0"/>
          <w:numId w:val="14"/>
        </w:numPr>
        <w:ind w:left="374" w:hanging="567"/>
        <w:jc w:val="both"/>
        <w:rPr>
          <w:sz w:val="26"/>
          <w:szCs w:val="26"/>
        </w:rPr>
      </w:pPr>
      <w:r>
        <w:rPr>
          <w:rFonts w:hint="cs"/>
          <w:sz w:val="26"/>
          <w:szCs w:val="26"/>
          <w:rtl/>
        </w:rPr>
        <w:t>לסיכום קובע המומחה מטעמה של המערערת כדלקמן:</w:t>
      </w:r>
    </w:p>
    <w:p w14:paraId="6159FC0D" w14:textId="77777777" w:rsidR="00BB0D3B" w:rsidRDefault="00BB0D3B" w:rsidP="00BB0D3B">
      <w:pPr>
        <w:pStyle w:val="ad"/>
        <w:ind w:left="720"/>
        <w:rPr>
          <w:rStyle w:val="1"/>
          <w:rtl/>
        </w:rPr>
      </w:pPr>
    </w:p>
    <w:p w14:paraId="336D90C7" w14:textId="566AFB55" w:rsidR="00BB0D3B" w:rsidRPr="00BB0D3B" w:rsidRDefault="00BB0D3B" w:rsidP="0028150B">
      <w:pPr>
        <w:pStyle w:val="ad"/>
        <w:ind w:left="720" w:right="993"/>
        <w:jc w:val="both"/>
        <w:rPr>
          <w:sz w:val="26"/>
          <w:szCs w:val="26"/>
        </w:rPr>
      </w:pPr>
      <w:r w:rsidRPr="00BB0D3B">
        <w:rPr>
          <w:sz w:val="26"/>
          <w:szCs w:val="26"/>
          <w:rtl/>
        </w:rPr>
        <w:t xml:space="preserve">לאור כל זאת, אני חולק על המסקנה כי המקרה הנוכחי נובע ממחלת </w:t>
      </w:r>
      <w:r w:rsidRPr="00BB0D3B">
        <w:rPr>
          <w:sz w:val="26"/>
          <w:szCs w:val="26"/>
        </w:rPr>
        <w:t>TSC</w:t>
      </w:r>
      <w:r w:rsidRPr="00BB0D3B">
        <w:rPr>
          <w:sz w:val="26"/>
          <w:szCs w:val="26"/>
          <w:rtl/>
        </w:rPr>
        <w:t xml:space="preserve"> בלבד. לדעתי, הממצאים הקליניים והמעבדתיים, יחד עם ההיסטוריה של חשיפה לתרופות </w:t>
      </w:r>
      <w:r w:rsidRPr="00BB0D3B">
        <w:rPr>
          <w:sz w:val="26"/>
          <w:szCs w:val="26"/>
        </w:rPr>
        <w:t>NSAID</w:t>
      </w:r>
      <w:r w:rsidRPr="00BB0D3B">
        <w:rPr>
          <w:sz w:val="26"/>
          <w:szCs w:val="26"/>
          <w:rtl/>
        </w:rPr>
        <w:t xml:space="preserve"> ללא מעקב מתאים במהלך השירות הצבאי, מצביעים על כך שהגורם המשמעותי לכשל הכלייתי הוא דלקת אינטרסטיציאלית חריפה (</w:t>
      </w:r>
      <w:r w:rsidRPr="00BB0D3B">
        <w:rPr>
          <w:sz w:val="26"/>
          <w:szCs w:val="26"/>
        </w:rPr>
        <w:t>AIN</w:t>
      </w:r>
      <w:r w:rsidRPr="00BB0D3B">
        <w:rPr>
          <w:sz w:val="26"/>
          <w:szCs w:val="26"/>
          <w:rtl/>
        </w:rPr>
        <w:t>) שהתפתחה לכרונית יתכן בשילוב עם מחלת כליה בסיסית ולא מחלת ה-</w:t>
      </w:r>
      <w:r w:rsidRPr="00BB0D3B">
        <w:rPr>
          <w:sz w:val="26"/>
          <w:szCs w:val="26"/>
        </w:rPr>
        <w:t xml:space="preserve">TSC </w:t>
      </w:r>
      <w:r w:rsidRPr="00BB0D3B">
        <w:rPr>
          <w:sz w:val="26"/>
          <w:szCs w:val="26"/>
          <w:rtl/>
        </w:rPr>
        <w:t>לבדה.]</w:t>
      </w:r>
      <w:r>
        <w:rPr>
          <w:rFonts w:hint="cs"/>
          <w:sz w:val="26"/>
          <w:szCs w:val="26"/>
          <w:rtl/>
        </w:rPr>
        <w:t xml:space="preserve"> </w:t>
      </w:r>
      <w:r w:rsidRPr="00BB0D3B">
        <w:rPr>
          <w:sz w:val="26"/>
          <w:szCs w:val="26"/>
          <w:rtl/>
        </w:rPr>
        <w:t xml:space="preserve">לסיכום, הראיות הרפואיות מצביעות על כך שהפגיעה הכלייתית של עדן נגרמה בסבירות גבוהה כתוצאה מחשיפה לתרופות </w:t>
      </w:r>
      <w:r w:rsidRPr="00BB0D3B">
        <w:rPr>
          <w:sz w:val="26"/>
          <w:szCs w:val="26"/>
        </w:rPr>
        <w:t>NSAID</w:t>
      </w:r>
      <w:r w:rsidRPr="00BB0D3B">
        <w:rPr>
          <w:sz w:val="26"/>
          <w:szCs w:val="26"/>
          <w:rtl/>
        </w:rPr>
        <w:t xml:space="preserve"> במהלך שירותה הצבאי, ולא באופן בלעדי</w:t>
      </w:r>
      <w:r>
        <w:rPr>
          <w:rFonts w:hint="cs"/>
          <w:sz w:val="26"/>
          <w:szCs w:val="26"/>
          <w:rtl/>
        </w:rPr>
        <w:t xml:space="preserve"> </w:t>
      </w:r>
      <w:r w:rsidRPr="00BB0D3B">
        <w:rPr>
          <w:sz w:val="26"/>
          <w:szCs w:val="26"/>
          <w:rtl/>
        </w:rPr>
        <w:t>ממחלת ה-</w:t>
      </w:r>
      <w:r w:rsidRPr="00BB0D3B">
        <w:rPr>
          <w:sz w:val="26"/>
          <w:szCs w:val="26"/>
        </w:rPr>
        <w:t>TSC</w:t>
      </w:r>
      <w:r w:rsidRPr="00BB0D3B">
        <w:rPr>
          <w:sz w:val="26"/>
          <w:szCs w:val="26"/>
          <w:rtl/>
        </w:rPr>
        <w:t>. קביעת רשויות הצבא נראית לא מבוססת על הממצאים הרפואיים המקיפים שהוצגו בחוות דעת זו.</w:t>
      </w:r>
    </w:p>
    <w:p w14:paraId="0E0BE4DD" w14:textId="77777777" w:rsidR="00BB0D3B" w:rsidRPr="00BB0D3B" w:rsidRDefault="00BB0D3B" w:rsidP="00BB0D3B">
      <w:pPr>
        <w:pStyle w:val="a6"/>
        <w:ind w:left="374"/>
        <w:jc w:val="both"/>
        <w:rPr>
          <w:sz w:val="26"/>
          <w:szCs w:val="26"/>
        </w:rPr>
      </w:pPr>
    </w:p>
    <w:p w14:paraId="545E1FCE" w14:textId="60860597" w:rsidR="0040496B" w:rsidRDefault="00D141FB" w:rsidP="00B45296">
      <w:pPr>
        <w:pStyle w:val="a6"/>
        <w:numPr>
          <w:ilvl w:val="0"/>
          <w:numId w:val="14"/>
        </w:numPr>
        <w:ind w:left="374" w:hanging="567"/>
        <w:jc w:val="both"/>
        <w:rPr>
          <w:sz w:val="26"/>
          <w:szCs w:val="26"/>
        </w:rPr>
      </w:pPr>
      <w:r>
        <w:rPr>
          <w:rFonts w:hint="cs"/>
          <w:sz w:val="26"/>
          <w:szCs w:val="26"/>
          <w:rtl/>
        </w:rPr>
        <w:t>המערערת</w:t>
      </w:r>
      <w:r w:rsidR="00584C7D">
        <w:rPr>
          <w:rFonts w:hint="cs"/>
          <w:sz w:val="26"/>
          <w:szCs w:val="26"/>
          <w:rtl/>
        </w:rPr>
        <w:t xml:space="preserve">, </w:t>
      </w:r>
      <w:r>
        <w:rPr>
          <w:rFonts w:hint="cs"/>
          <w:sz w:val="26"/>
          <w:szCs w:val="26"/>
          <w:rtl/>
        </w:rPr>
        <w:t>ת</w:t>
      </w:r>
      <w:r w:rsidR="00B45296">
        <w:rPr>
          <w:rFonts w:hint="cs"/>
          <w:sz w:val="26"/>
          <w:szCs w:val="26"/>
          <w:rtl/>
        </w:rPr>
        <w:t xml:space="preserve">טען שיש לייחס </w:t>
      </w:r>
      <w:r w:rsidR="004536ED">
        <w:rPr>
          <w:rFonts w:hint="cs"/>
          <w:sz w:val="26"/>
          <w:szCs w:val="26"/>
          <w:rtl/>
        </w:rPr>
        <w:t>את מצב</w:t>
      </w:r>
      <w:r>
        <w:rPr>
          <w:rFonts w:hint="cs"/>
          <w:sz w:val="26"/>
          <w:szCs w:val="26"/>
          <w:rtl/>
        </w:rPr>
        <w:t>ה</w:t>
      </w:r>
      <w:r w:rsidR="004536ED">
        <w:rPr>
          <w:rFonts w:hint="cs"/>
          <w:sz w:val="26"/>
          <w:szCs w:val="26"/>
          <w:rtl/>
        </w:rPr>
        <w:t xml:space="preserve"> הרפואי</w:t>
      </w:r>
      <w:r w:rsidR="00672297">
        <w:rPr>
          <w:rFonts w:hint="cs"/>
          <w:sz w:val="26"/>
          <w:szCs w:val="26"/>
          <w:rtl/>
        </w:rPr>
        <w:t xml:space="preserve"> </w:t>
      </w:r>
      <w:r w:rsidR="004536ED">
        <w:rPr>
          <w:rFonts w:hint="cs"/>
          <w:sz w:val="26"/>
          <w:szCs w:val="26"/>
          <w:rtl/>
        </w:rPr>
        <w:t>לשירות</w:t>
      </w:r>
      <w:r>
        <w:rPr>
          <w:rFonts w:hint="cs"/>
          <w:sz w:val="26"/>
          <w:szCs w:val="26"/>
          <w:rtl/>
        </w:rPr>
        <w:t xml:space="preserve">ה </w:t>
      </w:r>
      <w:r w:rsidR="004536ED">
        <w:rPr>
          <w:rFonts w:hint="cs"/>
          <w:sz w:val="26"/>
          <w:szCs w:val="26"/>
          <w:rtl/>
        </w:rPr>
        <w:t>הצבאי</w:t>
      </w:r>
      <w:r>
        <w:rPr>
          <w:rFonts w:hint="cs"/>
          <w:sz w:val="26"/>
          <w:szCs w:val="26"/>
          <w:rtl/>
        </w:rPr>
        <w:t xml:space="preserve"> (בקשר </w:t>
      </w:r>
      <w:r w:rsidR="00B00461">
        <w:rPr>
          <w:rFonts w:hint="cs"/>
          <w:sz w:val="26"/>
          <w:szCs w:val="26"/>
          <w:rtl/>
        </w:rPr>
        <w:t>ש</w:t>
      </w:r>
      <w:r>
        <w:rPr>
          <w:rFonts w:hint="cs"/>
          <w:sz w:val="26"/>
          <w:szCs w:val="26"/>
          <w:rtl/>
        </w:rPr>
        <w:t>ל גרימה או לכל הפחות החמרה)</w:t>
      </w:r>
      <w:r w:rsidR="00584C7D">
        <w:rPr>
          <w:rFonts w:hint="cs"/>
          <w:sz w:val="26"/>
          <w:szCs w:val="26"/>
          <w:rtl/>
        </w:rPr>
        <w:t xml:space="preserve">, </w:t>
      </w:r>
      <w:r w:rsidR="0040496B">
        <w:rPr>
          <w:rFonts w:hint="cs"/>
          <w:sz w:val="26"/>
          <w:szCs w:val="26"/>
          <w:rtl/>
        </w:rPr>
        <w:t xml:space="preserve">ועל כן </w:t>
      </w:r>
      <w:r>
        <w:rPr>
          <w:rFonts w:hint="cs"/>
          <w:sz w:val="26"/>
          <w:szCs w:val="26"/>
          <w:rtl/>
        </w:rPr>
        <w:t>ת</w:t>
      </w:r>
      <w:r w:rsidR="0040496B">
        <w:rPr>
          <w:rFonts w:hint="cs"/>
          <w:sz w:val="26"/>
          <w:szCs w:val="26"/>
          <w:rtl/>
        </w:rPr>
        <w:t>טען כי החלטת המשיב אינה סבירה, בטעות יסודה ויש לבטלה.</w:t>
      </w:r>
    </w:p>
    <w:p w14:paraId="7FEDC09F" w14:textId="77777777" w:rsidR="0028150B" w:rsidRDefault="0028150B" w:rsidP="0028150B">
      <w:pPr>
        <w:pStyle w:val="a6"/>
        <w:ind w:left="374"/>
        <w:jc w:val="both"/>
        <w:rPr>
          <w:sz w:val="26"/>
          <w:szCs w:val="26"/>
        </w:rPr>
      </w:pPr>
    </w:p>
    <w:p w14:paraId="246D7DCA" w14:textId="3937D59A" w:rsidR="0028150B" w:rsidRDefault="0028150B" w:rsidP="00B45296">
      <w:pPr>
        <w:pStyle w:val="a6"/>
        <w:numPr>
          <w:ilvl w:val="0"/>
          <w:numId w:val="14"/>
        </w:numPr>
        <w:ind w:left="374" w:hanging="567"/>
        <w:jc w:val="both"/>
        <w:rPr>
          <w:sz w:val="26"/>
          <w:szCs w:val="26"/>
        </w:rPr>
      </w:pPr>
      <w:r>
        <w:rPr>
          <w:rFonts w:hint="cs"/>
          <w:sz w:val="26"/>
          <w:szCs w:val="26"/>
          <w:rtl/>
        </w:rPr>
        <w:t>המערערת תוסיף ותטען כי דין הערעור להתקבל גם בשל נזק ראייתי שנגרם למערערת על ידי רשויות הצבא, בכך שלא נערכו לה בדיקות שתן ו/או בדיקות אחרות אשר היו יכולות לגלות את מצבה ובכך למנוע את מחלת הכליות, או, לכל הפחות, למנוע ו/או להפחית את נזקה ולהביא לפרוגנוזה טובה יותר.</w:t>
      </w:r>
    </w:p>
    <w:p w14:paraId="46E89C59" w14:textId="77777777" w:rsidR="00B00461" w:rsidRPr="00B00461" w:rsidRDefault="00B00461" w:rsidP="00B00461">
      <w:pPr>
        <w:pStyle w:val="a6"/>
        <w:rPr>
          <w:sz w:val="26"/>
          <w:szCs w:val="26"/>
          <w:rtl/>
        </w:rPr>
      </w:pPr>
    </w:p>
    <w:p w14:paraId="00F41BC0" w14:textId="77777777" w:rsidR="0028150B" w:rsidRDefault="0028150B" w:rsidP="00B45296">
      <w:pPr>
        <w:pStyle w:val="a6"/>
        <w:numPr>
          <w:ilvl w:val="0"/>
          <w:numId w:val="14"/>
        </w:numPr>
        <w:ind w:left="374" w:hanging="567"/>
        <w:jc w:val="both"/>
        <w:rPr>
          <w:sz w:val="26"/>
          <w:szCs w:val="26"/>
        </w:rPr>
      </w:pPr>
      <w:r>
        <w:rPr>
          <w:rFonts w:hint="cs"/>
          <w:sz w:val="26"/>
          <w:szCs w:val="26"/>
          <w:rtl/>
        </w:rPr>
        <w:t>המערערת תטען כי המשיב טעה בדחותו את תביעת המערערת. קביעותיו ומסקנותיו הן בכל הכבוד מוטעות.</w:t>
      </w:r>
    </w:p>
    <w:p w14:paraId="2FD94528" w14:textId="77777777" w:rsidR="0028150B" w:rsidRPr="0028150B" w:rsidRDefault="0028150B" w:rsidP="0028150B">
      <w:pPr>
        <w:pStyle w:val="a6"/>
        <w:rPr>
          <w:rFonts w:hint="cs"/>
          <w:sz w:val="26"/>
          <w:szCs w:val="26"/>
          <w:rtl/>
        </w:rPr>
      </w:pPr>
    </w:p>
    <w:p w14:paraId="3D3ED00C" w14:textId="77777777" w:rsidR="0028150B" w:rsidRDefault="0028150B" w:rsidP="00B45296">
      <w:pPr>
        <w:pStyle w:val="a6"/>
        <w:numPr>
          <w:ilvl w:val="0"/>
          <w:numId w:val="14"/>
        </w:numPr>
        <w:ind w:left="374" w:hanging="567"/>
        <w:jc w:val="both"/>
        <w:rPr>
          <w:sz w:val="26"/>
          <w:szCs w:val="26"/>
        </w:rPr>
      </w:pPr>
      <w:r>
        <w:rPr>
          <w:rFonts w:hint="cs"/>
          <w:sz w:val="26"/>
          <w:szCs w:val="26"/>
          <w:rtl/>
        </w:rPr>
        <w:t>לחלופין בלבד, טעה, עם כל הכבוד המשיב, משלא קבע כי המחלה הכלייתית ממנה סובלת ונזקה הוחמרו עקב השירות הצבאי.</w:t>
      </w:r>
    </w:p>
    <w:p w14:paraId="075C7C2C" w14:textId="77777777" w:rsidR="0028150B" w:rsidRDefault="0028150B" w:rsidP="0028150B">
      <w:pPr>
        <w:jc w:val="both"/>
        <w:rPr>
          <w:sz w:val="26"/>
          <w:szCs w:val="26"/>
          <w:rtl/>
        </w:rPr>
      </w:pPr>
    </w:p>
    <w:p w14:paraId="4E62C9BA" w14:textId="77777777" w:rsidR="0028150B" w:rsidRDefault="0028150B" w:rsidP="0028150B">
      <w:pPr>
        <w:jc w:val="both"/>
        <w:rPr>
          <w:sz w:val="26"/>
          <w:szCs w:val="26"/>
          <w:rtl/>
        </w:rPr>
      </w:pPr>
    </w:p>
    <w:p w14:paraId="02A2260B" w14:textId="021456A4" w:rsidR="0040496B" w:rsidRPr="00835E2C" w:rsidRDefault="0040496B" w:rsidP="0028150B">
      <w:pPr>
        <w:jc w:val="both"/>
        <w:rPr>
          <w:sz w:val="26"/>
          <w:szCs w:val="26"/>
          <w:rtl/>
        </w:rPr>
      </w:pPr>
      <w:r w:rsidRPr="00835E2C">
        <w:rPr>
          <w:sz w:val="26"/>
          <w:szCs w:val="26"/>
          <w:rtl/>
        </w:rPr>
        <w:t>כל טענות המערער</w:t>
      </w:r>
      <w:r w:rsidR="00D141FB">
        <w:rPr>
          <w:rFonts w:hint="cs"/>
          <w:sz w:val="26"/>
          <w:szCs w:val="26"/>
          <w:rtl/>
        </w:rPr>
        <w:t>ת</w:t>
      </w:r>
      <w:r w:rsidRPr="00835E2C">
        <w:rPr>
          <w:sz w:val="26"/>
          <w:szCs w:val="26"/>
          <w:rtl/>
        </w:rPr>
        <w:t xml:space="preserve"> נטענות ביחד ו/או לחוד ו/או לחילופין, הכל</w:t>
      </w:r>
      <w:r w:rsidRPr="00835E2C">
        <w:rPr>
          <w:rFonts w:hint="cs"/>
          <w:sz w:val="26"/>
          <w:szCs w:val="26"/>
          <w:rtl/>
        </w:rPr>
        <w:t xml:space="preserve"> </w:t>
      </w:r>
      <w:r w:rsidRPr="00835E2C">
        <w:rPr>
          <w:sz w:val="26"/>
          <w:szCs w:val="26"/>
          <w:rtl/>
        </w:rPr>
        <w:t>פי הקשר העניין ו/או בגין הדברים אשר גרמו במיש</w:t>
      </w:r>
      <w:r w:rsidRPr="00835E2C">
        <w:rPr>
          <w:rFonts w:hint="cs"/>
          <w:sz w:val="26"/>
          <w:szCs w:val="26"/>
          <w:rtl/>
        </w:rPr>
        <w:t>רין ו</w:t>
      </w:r>
      <w:r w:rsidRPr="00835E2C">
        <w:rPr>
          <w:sz w:val="26"/>
          <w:szCs w:val="26"/>
          <w:rtl/>
        </w:rPr>
        <w:t xml:space="preserve">/או בעקיפין </w:t>
      </w:r>
      <w:r w:rsidR="008C4FA2">
        <w:rPr>
          <w:rFonts w:hint="cs"/>
          <w:sz w:val="26"/>
          <w:szCs w:val="26"/>
          <w:rtl/>
        </w:rPr>
        <w:t>לפגימותי</w:t>
      </w:r>
      <w:r w:rsidR="00D141FB">
        <w:rPr>
          <w:rFonts w:hint="cs"/>
          <w:sz w:val="26"/>
          <w:szCs w:val="26"/>
          <w:rtl/>
        </w:rPr>
        <w:t>ה</w:t>
      </w:r>
      <w:r w:rsidR="004536ED">
        <w:rPr>
          <w:rFonts w:hint="cs"/>
          <w:sz w:val="26"/>
          <w:szCs w:val="26"/>
          <w:rtl/>
        </w:rPr>
        <w:t xml:space="preserve"> של</w:t>
      </w:r>
      <w:r w:rsidRPr="00835E2C">
        <w:rPr>
          <w:sz w:val="26"/>
          <w:szCs w:val="26"/>
          <w:rtl/>
        </w:rPr>
        <w:t xml:space="preserve"> המערער</w:t>
      </w:r>
      <w:r w:rsidR="00D141FB">
        <w:rPr>
          <w:rFonts w:hint="cs"/>
          <w:sz w:val="26"/>
          <w:szCs w:val="26"/>
          <w:rtl/>
        </w:rPr>
        <w:t>ת</w:t>
      </w:r>
      <w:r w:rsidRPr="00835E2C">
        <w:rPr>
          <w:sz w:val="26"/>
          <w:szCs w:val="26"/>
          <w:rtl/>
        </w:rPr>
        <w:t xml:space="preserve">. </w:t>
      </w:r>
    </w:p>
    <w:p w14:paraId="547810C2" w14:textId="77777777" w:rsidR="0040496B" w:rsidRPr="00835E2C" w:rsidRDefault="0040496B" w:rsidP="0040496B">
      <w:pPr>
        <w:jc w:val="both"/>
        <w:rPr>
          <w:sz w:val="26"/>
          <w:szCs w:val="26"/>
        </w:rPr>
      </w:pPr>
    </w:p>
    <w:p w14:paraId="4D9CFD50" w14:textId="1B0AF9DF" w:rsidR="0040496B" w:rsidRDefault="0040496B" w:rsidP="0040496B">
      <w:pPr>
        <w:jc w:val="both"/>
        <w:rPr>
          <w:sz w:val="26"/>
          <w:szCs w:val="26"/>
          <w:rtl/>
        </w:rPr>
      </w:pPr>
      <w:r w:rsidRPr="00835E2C">
        <w:rPr>
          <w:sz w:val="26"/>
          <w:szCs w:val="26"/>
          <w:rtl/>
        </w:rPr>
        <w:t>מכל האמור, מתבקש</w:t>
      </w:r>
      <w:r w:rsidR="0028150B">
        <w:rPr>
          <w:rFonts w:hint="cs"/>
          <w:sz w:val="26"/>
          <w:szCs w:val="26"/>
          <w:rtl/>
        </w:rPr>
        <w:t>ת הוועדה הנכבדה</w:t>
      </w:r>
      <w:r w:rsidRPr="00835E2C">
        <w:rPr>
          <w:sz w:val="26"/>
          <w:szCs w:val="26"/>
          <w:rtl/>
        </w:rPr>
        <w:t xml:space="preserve">, לקבל את הערעור ולקבוע כי </w:t>
      </w:r>
      <w:r w:rsidR="0028150B">
        <w:rPr>
          <w:rFonts w:hint="cs"/>
          <w:sz w:val="26"/>
          <w:szCs w:val="26"/>
          <w:rtl/>
        </w:rPr>
        <w:t>מתקיים</w:t>
      </w:r>
      <w:r w:rsidRPr="00835E2C">
        <w:rPr>
          <w:sz w:val="26"/>
          <w:szCs w:val="26"/>
          <w:rtl/>
        </w:rPr>
        <w:t xml:space="preserve"> קשר סיבתי בין </w:t>
      </w:r>
      <w:r w:rsidR="00D141FB">
        <w:rPr>
          <w:rFonts w:hint="cs"/>
          <w:sz w:val="26"/>
          <w:szCs w:val="26"/>
          <w:rtl/>
        </w:rPr>
        <w:t>מצבה הרפואי ופגימותיה של</w:t>
      </w:r>
      <w:r w:rsidR="004536ED">
        <w:rPr>
          <w:rFonts w:hint="cs"/>
          <w:sz w:val="26"/>
          <w:szCs w:val="26"/>
          <w:rtl/>
        </w:rPr>
        <w:t xml:space="preserve"> המערער</w:t>
      </w:r>
      <w:r w:rsidR="00D141FB">
        <w:rPr>
          <w:rFonts w:hint="cs"/>
          <w:sz w:val="26"/>
          <w:szCs w:val="26"/>
          <w:rtl/>
        </w:rPr>
        <w:t>ת</w:t>
      </w:r>
      <w:r>
        <w:rPr>
          <w:sz w:val="26"/>
          <w:szCs w:val="26"/>
          <w:rtl/>
        </w:rPr>
        <w:t>, לבין תנאי שרות</w:t>
      </w:r>
      <w:r w:rsidR="00D141FB">
        <w:rPr>
          <w:rFonts w:hint="cs"/>
          <w:sz w:val="26"/>
          <w:szCs w:val="26"/>
          <w:rtl/>
        </w:rPr>
        <w:t>ה</w:t>
      </w:r>
      <w:r w:rsidRPr="00835E2C">
        <w:rPr>
          <w:rFonts w:hint="cs"/>
          <w:sz w:val="26"/>
          <w:szCs w:val="26"/>
          <w:rtl/>
        </w:rPr>
        <w:t xml:space="preserve"> </w:t>
      </w:r>
      <w:r w:rsidRPr="00835E2C">
        <w:rPr>
          <w:sz w:val="26"/>
          <w:szCs w:val="26"/>
          <w:rtl/>
        </w:rPr>
        <w:t xml:space="preserve">כמפורט, כמו כן, להשית הוצאות הערעור ושכ"ט עו"ד על המשיב. </w:t>
      </w:r>
    </w:p>
    <w:p w14:paraId="50DFE8A2" w14:textId="38EC6CAA" w:rsidR="00AA1191" w:rsidRDefault="00AA1191" w:rsidP="0040496B">
      <w:pPr>
        <w:jc w:val="both"/>
        <w:rPr>
          <w:sz w:val="26"/>
          <w:szCs w:val="26"/>
          <w:rtl/>
        </w:rPr>
      </w:pPr>
    </w:p>
    <w:p w14:paraId="6111791E" w14:textId="7660590C" w:rsidR="00AA1191" w:rsidRDefault="00AA1191" w:rsidP="0040496B">
      <w:pPr>
        <w:jc w:val="both"/>
        <w:rPr>
          <w:sz w:val="26"/>
          <w:szCs w:val="26"/>
          <w:rtl/>
        </w:rPr>
      </w:pPr>
    </w:p>
    <w:p w14:paraId="694529CD" w14:textId="1D6194D6" w:rsidR="00AA1191" w:rsidRDefault="00AA1191" w:rsidP="0040496B">
      <w:pPr>
        <w:jc w:val="both"/>
        <w:rPr>
          <w:sz w:val="26"/>
          <w:szCs w:val="26"/>
          <w:rtl/>
        </w:rPr>
      </w:pPr>
    </w:p>
    <w:p w14:paraId="439796C8" w14:textId="77777777" w:rsidR="00AA1191" w:rsidRPr="0040496B" w:rsidRDefault="00AA1191" w:rsidP="0040496B">
      <w:pPr>
        <w:jc w:val="both"/>
        <w:rPr>
          <w:sz w:val="26"/>
          <w:szCs w:val="26"/>
          <w:rtl/>
        </w:rPr>
      </w:pPr>
    </w:p>
    <w:p w14:paraId="1AAECAD8" w14:textId="7216E265" w:rsidR="0040496B" w:rsidRPr="008F2304" w:rsidRDefault="0040496B" w:rsidP="0040496B">
      <w:pPr>
        <w:jc w:val="both"/>
      </w:pPr>
    </w:p>
    <w:p w14:paraId="3EA87FB5" w14:textId="72F8279C" w:rsidR="0040496B" w:rsidRPr="008F2304" w:rsidRDefault="009D4515" w:rsidP="0040496B">
      <w:pPr>
        <w:ind w:left="5040" w:firstLine="720"/>
        <w:jc w:val="both"/>
        <w:rPr>
          <w:rtl/>
        </w:rPr>
      </w:pPr>
      <w:r>
        <w:rPr>
          <w:noProof/>
        </w:rPr>
        <mc:AlternateContent>
          <mc:Choice Requires="wpi">
            <w:drawing>
              <wp:anchor distT="0" distB="0" distL="114300" distR="114300" simplePos="0" relativeHeight="251658240" behindDoc="0" locked="0" layoutInCell="1" allowOverlap="1" wp14:anchorId="17EB113C" wp14:editId="55ABF363">
                <wp:simplePos x="0" y="0"/>
                <wp:positionH relativeFrom="column">
                  <wp:posOffset>-226971</wp:posOffset>
                </wp:positionH>
                <wp:positionV relativeFrom="paragraph">
                  <wp:posOffset>-36995</wp:posOffset>
                </wp:positionV>
                <wp:extent cx="2111375" cy="417195"/>
                <wp:effectExtent l="56515" t="55880" r="51435" b="41275"/>
                <wp:wrapNone/>
                <wp:docPr id="1"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noChangeAspect="1" noEditPoints="1" noChangeArrowheads="1" noChangeShapeType="1"/>
                        </w14:cNvContentPartPr>
                      </w14:nvContentPartPr>
                      <w14:xfrm>
                        <a:off x="0" y="0"/>
                        <a:ext cx="2111375" cy="417195"/>
                      </w14:xfrm>
                    </w14:contentPart>
                  </a:graphicData>
                </a:graphic>
                <wp14:sizeRelH relativeFrom="margin">
                  <wp14:pctWidth>0</wp14:pctWidth>
                </wp14:sizeRelH>
                <wp14:sizeRelV relativeFrom="margin">
                  <wp14:pctHeight>0</wp14:pctHeight>
                </wp14:sizeRelV>
              </wp:anchor>
            </w:drawing>
          </mc:Choice>
          <mc:Fallback>
            <w:pict>
              <v:shapetype w14:anchorId="7383393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19.3pt;margin-top:-4.45pt;width:169.1pt;height:3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">
                <v:imagedata r:id="rId11" o:title=""/>
                <o:lock v:ext="edit" rotation="t" verticies="t" shapetype="t"/>
              </v:shape>
            </w:pict>
          </mc:Fallback>
        </mc:AlternateContent>
      </w:r>
      <w:r w:rsidR="0040496B" w:rsidRPr="008F2304">
        <w:rPr>
          <w:rFonts w:hint="cs"/>
          <w:rtl/>
        </w:rPr>
        <w:t>_______</w:t>
      </w:r>
      <w:r w:rsidR="0040496B">
        <w:rPr>
          <w:rFonts w:hint="cs"/>
          <w:rtl/>
        </w:rPr>
        <w:t>__</w:t>
      </w:r>
      <w:r w:rsidR="0040496B" w:rsidRPr="008F2304">
        <w:rPr>
          <w:rFonts w:hint="cs"/>
          <w:rtl/>
        </w:rPr>
        <w:t>______</w:t>
      </w:r>
    </w:p>
    <w:p w14:paraId="61382848" w14:textId="77777777" w:rsidR="0040496B" w:rsidRPr="00525C68" w:rsidRDefault="0040496B" w:rsidP="0040496B">
      <w:pPr>
        <w:jc w:val="both"/>
        <w:rPr>
          <w:b/>
          <w:bCs/>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sidRPr="00525C68">
        <w:rPr>
          <w:rFonts w:hint="cs"/>
          <w:b/>
          <w:bCs/>
          <w:rtl/>
        </w:rPr>
        <w:t>אריאל פרייברג</w:t>
      </w:r>
      <w:r w:rsidRPr="00525C68">
        <w:rPr>
          <w:b/>
          <w:bCs/>
          <w:rtl/>
        </w:rPr>
        <w:t>, עו"ד</w:t>
      </w:r>
    </w:p>
    <w:p w14:paraId="7BBE986D" w14:textId="44456276" w:rsidR="00AA0BEA" w:rsidRPr="00525C68" w:rsidRDefault="0040496B" w:rsidP="0040496B">
      <w:pPr>
        <w:rPr>
          <w:b/>
          <w:bCs/>
          <w:color w:val="000000"/>
          <w:rtl/>
        </w:rPr>
      </w:pP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r>
      <w:r w:rsidRPr="00525C68">
        <w:rPr>
          <w:rFonts w:hint="cs"/>
          <w:b/>
          <w:bCs/>
          <w:rtl/>
        </w:rPr>
        <w:tab/>
        <w:t>ב"כ          המערער</w:t>
      </w:r>
      <w:r w:rsidR="00D141FB">
        <w:rPr>
          <w:rFonts w:hint="cs"/>
          <w:b/>
          <w:bCs/>
          <w:color w:val="000000"/>
          <w:rtl/>
        </w:rPr>
        <w:t>ת</w:t>
      </w:r>
    </w:p>
    <w:sectPr w:rsidR="00AA0BEA" w:rsidRPr="00525C68" w:rsidSect="00AA1191">
      <w:headerReference w:type="even" r:id="rId12"/>
      <w:footerReference w:type="even" r:id="rId13"/>
      <w:footerReference w:type="default" r:id="rId14"/>
      <w:pgSz w:w="11906" w:h="16838"/>
      <w:pgMar w:top="1701" w:right="1797" w:bottom="1701" w:left="1797" w:header="709" w:footer="709" w:gutter="0"/>
      <w:pgNumType w:start="1"/>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B54B51" w14:textId="77777777" w:rsidR="008208FF" w:rsidRDefault="008208FF" w:rsidP="00970E07">
      <w:r>
        <w:separator/>
      </w:r>
    </w:p>
  </w:endnote>
  <w:endnote w:type="continuationSeparator" w:id="0">
    <w:p w14:paraId="20B8DBB7" w14:textId="77777777" w:rsidR="008208FF" w:rsidRDefault="008208FF" w:rsidP="00970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59DDC" w14:textId="77777777" w:rsidR="00AA0BEA" w:rsidRDefault="00AA0BEA" w:rsidP="00AA0BEA">
    <w:pPr>
      <w:pStyle w:val="a5"/>
      <w:jc w:val="center"/>
      <w:rPr>
        <w:rFonts w:ascii="FrankRuehl" w:hAnsi="FrankRuehl" w:cs="FrankRuehl"/>
        <w:rtl/>
      </w:rPr>
    </w:pPr>
    <w:r>
      <w:rPr>
        <w:rFonts w:ascii="FrankRuehl" w:hAnsi="FrankRuehl" w:cs="FrankRuehl"/>
        <w:rtl/>
      </w:rPr>
      <w:fldChar w:fldCharType="begin"/>
    </w:r>
    <w:r>
      <w:rPr>
        <w:rFonts w:ascii="FrankRuehl" w:hAnsi="FrankRuehl" w:cs="FrankRuehl"/>
        <w:rtl/>
      </w:rPr>
      <w:instrText xml:space="preserve"> </w:instrText>
    </w:r>
    <w:r>
      <w:rPr>
        <w:rFonts w:ascii="FrankRuehl" w:hAnsi="FrankRuehl" w:cs="FrankRuehl"/>
      </w:rPr>
      <w:instrText>PAGE</w:instrText>
    </w:r>
    <w:r>
      <w:rPr>
        <w:rFonts w:ascii="FrankRuehl" w:hAnsi="FrankRuehl" w:cs="FrankRuehl"/>
        <w:rtl/>
      </w:rPr>
      <w:instrText xml:space="preserve">  \* </w:instrText>
    </w:r>
    <w:r>
      <w:rPr>
        <w:rFonts w:ascii="FrankRuehl" w:hAnsi="FrankRuehl" w:cs="FrankRuehl"/>
      </w:rPr>
      <w:instrText>MERGEFORMAT</w:instrText>
    </w:r>
    <w:r>
      <w:rPr>
        <w:rFonts w:ascii="FrankRuehl" w:hAnsi="FrankRuehl" w:cs="FrankRuehl"/>
        <w:rtl/>
      </w:rPr>
      <w:instrText xml:space="preserve"> </w:instrText>
    </w:r>
    <w:r>
      <w:rPr>
        <w:rFonts w:ascii="FrankRuehl" w:hAnsi="FrankRuehl" w:cs="FrankRuehl"/>
        <w:rtl/>
      </w:rPr>
      <w:fldChar w:fldCharType="separate"/>
    </w:r>
    <w:r>
      <w:rPr>
        <w:rFonts w:ascii="FrankRuehl" w:hAnsi="FrankRuehl" w:cs="FrankRuehl"/>
        <w:noProof/>
        <w:rtl/>
      </w:rPr>
      <w:t>1</w:t>
    </w:r>
    <w:r>
      <w:rPr>
        <w:rFonts w:ascii="FrankRuehl" w:hAnsi="FrankRuehl" w:cs="FrankRuehl"/>
        <w:rtl/>
      </w:rPr>
      <w:fldChar w:fldCharType="end"/>
    </w:r>
  </w:p>
  <w:p w14:paraId="5675E134" w14:textId="77777777" w:rsidR="00AA0BEA" w:rsidRDefault="00AA0BEA" w:rsidP="00AA0BEA">
    <w:pPr>
      <w:pStyle w:val="a5"/>
      <w:pBdr>
        <w:top w:val="single" w:sz="4" w:space="1" w:color="auto"/>
        <w:between w:val="single" w:sz="4" w:space="0" w:color="auto"/>
      </w:pBdr>
      <w:spacing w:after="60"/>
      <w:jc w:val="center"/>
      <w:rPr>
        <w:rFonts w:cs="Times New Roman"/>
        <w:color w:val="000000"/>
        <w:sz w:val="28"/>
        <w:szCs w:val="22"/>
        <w:rtl/>
      </w:rPr>
    </w:pPr>
    <w:r>
      <w:rPr>
        <w:rFonts w:cs="Times New Roman"/>
        <w:color w:val="000000"/>
        <w:sz w:val="28"/>
        <w:szCs w:val="22"/>
        <w:rtl/>
      </w:rPr>
      <w:t xml:space="preserve">נבו הוצאה לאור בע"מ  </w:t>
    </w:r>
    <w:r>
      <w:rPr>
        <w:rFonts w:cs="Times New Roman"/>
        <w:color w:val="000000"/>
        <w:sz w:val="28"/>
        <w:szCs w:val="22"/>
      </w:rPr>
      <w:t>nevo.co.il</w:t>
    </w:r>
    <w:r>
      <w:rPr>
        <w:rFonts w:cs="Times New Roman"/>
        <w:color w:val="000000"/>
        <w:sz w:val="28"/>
        <w:szCs w:val="22"/>
        <w:rtl/>
      </w:rPr>
      <w:t xml:space="preserve">   המאגר המשפטי הישראלי</w:t>
    </w:r>
  </w:p>
  <w:p w14:paraId="034D7165" w14:textId="69F344AE" w:rsidR="00AA0BEA" w:rsidRPr="00AA0BEA" w:rsidRDefault="00AA0BEA" w:rsidP="00AA0BEA">
    <w:pPr>
      <w:pStyle w:val="a5"/>
      <w:pBdr>
        <w:top w:val="single" w:sz="4" w:space="1" w:color="auto"/>
        <w:between w:val="single" w:sz="4" w:space="0" w:color="auto"/>
      </w:pBdr>
      <w:rPr>
        <w:rFonts w:cs="Times New Roman"/>
        <w:color w:val="000000"/>
        <w:sz w:val="14"/>
        <w:szCs w:val="14"/>
      </w:rPr>
    </w:pPr>
    <w:r>
      <w:rPr>
        <w:rFonts w:cs="Times New Roman"/>
        <w:color w:val="000000"/>
        <w:sz w:val="14"/>
        <w:szCs w:val="14"/>
        <w:rtl/>
      </w:rPr>
      <w:fldChar w:fldCharType="begin"/>
    </w:r>
    <w:r>
      <w:rPr>
        <w:rFonts w:cs="Times New Roman"/>
        <w:color w:val="000000"/>
        <w:sz w:val="14"/>
        <w:szCs w:val="14"/>
        <w:rtl/>
      </w:rPr>
      <w:instrText xml:space="preserve"> </w:instrText>
    </w:r>
    <w:r>
      <w:rPr>
        <w:rFonts w:cs="Times New Roman"/>
        <w:color w:val="000000"/>
        <w:sz w:val="14"/>
        <w:szCs w:val="14"/>
      </w:rPr>
      <w:instrText>FILENAME \p  \* MERGEFORMAT</w:instrText>
    </w:r>
    <w:r>
      <w:rPr>
        <w:rFonts w:cs="Times New Roman"/>
        <w:color w:val="000000"/>
        <w:sz w:val="14"/>
        <w:szCs w:val="14"/>
        <w:rtl/>
      </w:rPr>
      <w:instrText xml:space="preserve"> </w:instrText>
    </w:r>
    <w:r>
      <w:rPr>
        <w:rFonts w:cs="Times New Roman"/>
        <w:color w:val="000000"/>
        <w:sz w:val="14"/>
        <w:szCs w:val="14"/>
        <w:rtl/>
      </w:rPr>
      <w:fldChar w:fldCharType="separate"/>
    </w:r>
    <w:r w:rsidR="00A04DD6">
      <w:rPr>
        <w:rFonts w:cs="Times New Roman"/>
        <w:noProof/>
        <w:color w:val="000000"/>
        <w:sz w:val="14"/>
        <w:szCs w:val="14"/>
        <w:rtl/>
      </w:rPr>
      <w:t>\\</w:t>
    </w:r>
    <w:r w:rsidR="00A04DD6">
      <w:rPr>
        <w:rFonts w:cs="Times New Roman"/>
        <w:noProof/>
        <w:color w:val="000000"/>
        <w:sz w:val="14"/>
        <w:szCs w:val="14"/>
      </w:rPr>
      <w:t>SRV-OD3\odlight_1830$\Docs</w:t>
    </w:r>
    <w:r w:rsidR="00A04DD6">
      <w:rPr>
        <w:rFonts w:cs="Times New Roman"/>
        <w:noProof/>
        <w:color w:val="000000"/>
        <w:sz w:val="14"/>
        <w:szCs w:val="14"/>
        <w:rtl/>
      </w:rPr>
      <w:t>\(126)יצחק עדן\(126_1)תביעה נ קתג\(26)כתב ערר מתוקן.</w:t>
    </w:r>
    <w:r w:rsidR="00A04DD6">
      <w:rPr>
        <w:rFonts w:cs="Times New Roman"/>
        <w:noProof/>
        <w:color w:val="000000"/>
        <w:sz w:val="14"/>
        <w:szCs w:val="14"/>
      </w:rPr>
      <w:t>docx</w:t>
    </w:r>
    <w:r>
      <w:rPr>
        <w:rFonts w:cs="Times New Roman"/>
        <w:color w:val="000000"/>
        <w:sz w:val="14"/>
        <w:szCs w:val="14"/>
        <w:rt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BECADA" w14:textId="77777777" w:rsidR="00AA0BEA" w:rsidRDefault="00AA0BEA" w:rsidP="00AA0BEA">
    <w:pPr>
      <w:pStyle w:val="a5"/>
      <w:jc w:val="center"/>
      <w:rPr>
        <w:rFonts w:ascii="FrankRuehl" w:hAnsi="FrankRuehl" w:cs="FrankRuehl"/>
        <w:rtl/>
      </w:rPr>
    </w:pPr>
    <w:r>
      <w:rPr>
        <w:rFonts w:ascii="FrankRuehl" w:hAnsi="FrankRuehl" w:cs="FrankRuehl"/>
        <w:rtl/>
      </w:rPr>
      <w:fldChar w:fldCharType="begin"/>
    </w:r>
    <w:r>
      <w:rPr>
        <w:rFonts w:ascii="FrankRuehl" w:hAnsi="FrankRuehl" w:cs="FrankRuehl"/>
        <w:rtl/>
      </w:rPr>
      <w:instrText xml:space="preserve"> </w:instrText>
    </w:r>
    <w:r>
      <w:rPr>
        <w:rFonts w:ascii="FrankRuehl" w:hAnsi="FrankRuehl" w:cs="FrankRuehl"/>
      </w:rPr>
      <w:instrText>PAGE</w:instrText>
    </w:r>
    <w:r>
      <w:rPr>
        <w:rFonts w:ascii="FrankRuehl" w:hAnsi="FrankRuehl" w:cs="FrankRuehl"/>
        <w:rtl/>
      </w:rPr>
      <w:instrText xml:space="preserve">  \* </w:instrText>
    </w:r>
    <w:r>
      <w:rPr>
        <w:rFonts w:ascii="FrankRuehl" w:hAnsi="FrankRuehl" w:cs="FrankRuehl"/>
      </w:rPr>
      <w:instrText>MERGEFORMAT</w:instrText>
    </w:r>
    <w:r>
      <w:rPr>
        <w:rFonts w:ascii="FrankRuehl" w:hAnsi="FrankRuehl" w:cs="FrankRuehl"/>
        <w:rtl/>
      </w:rPr>
      <w:instrText xml:space="preserve"> </w:instrText>
    </w:r>
    <w:r>
      <w:rPr>
        <w:rFonts w:ascii="FrankRuehl" w:hAnsi="FrankRuehl" w:cs="FrankRuehl"/>
        <w:rtl/>
      </w:rPr>
      <w:fldChar w:fldCharType="separate"/>
    </w:r>
    <w:r w:rsidR="00B45296">
      <w:rPr>
        <w:rFonts w:ascii="FrankRuehl" w:hAnsi="FrankRuehl" w:cs="FrankRuehl"/>
        <w:noProof/>
        <w:rtl/>
      </w:rPr>
      <w:t>5</w:t>
    </w:r>
    <w:r>
      <w:rPr>
        <w:rFonts w:ascii="FrankRuehl" w:hAnsi="FrankRuehl" w:cs="FrankRuehl"/>
        <w:rt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072B40" w14:textId="77777777" w:rsidR="008208FF" w:rsidRDefault="008208FF" w:rsidP="00970E07">
      <w:r>
        <w:separator/>
      </w:r>
    </w:p>
  </w:footnote>
  <w:footnote w:type="continuationSeparator" w:id="0">
    <w:p w14:paraId="20FE63CF" w14:textId="77777777" w:rsidR="008208FF" w:rsidRDefault="008208FF" w:rsidP="00970E07">
      <w:r>
        <w:continuationSeparator/>
      </w:r>
    </w:p>
  </w:footnote>
  <w:footnote w:id="1">
    <w:p w14:paraId="6EC4E257" w14:textId="77777777" w:rsidR="00383A9F" w:rsidRPr="00383A9F" w:rsidRDefault="00383A9F" w:rsidP="00383A9F">
      <w:pPr>
        <w:pStyle w:val="a7"/>
        <w:rPr>
          <w:lang/>
        </w:rPr>
      </w:pPr>
      <w:r>
        <w:rPr>
          <w:rStyle w:val="a9"/>
        </w:rPr>
        <w:footnoteRef/>
      </w:r>
      <w:r>
        <w:rPr>
          <w:rtl/>
        </w:rPr>
        <w:t xml:space="preserve"> </w:t>
      </w:r>
      <w:r w:rsidRPr="00383A9F">
        <w:rPr>
          <w:lang/>
        </w:rPr>
        <w:t xml:space="preserve">Clarke A, etal Nephrol Dial Transplant. 1999 Apr;14(4):988-91. </w:t>
      </w:r>
    </w:p>
    <w:p w14:paraId="122C0970" w14:textId="77777777" w:rsidR="00383A9F" w:rsidRPr="00383A9F" w:rsidRDefault="00383A9F" w:rsidP="00383A9F">
      <w:pPr>
        <w:pStyle w:val="a7"/>
        <w:rPr>
          <w:lang/>
        </w:rPr>
      </w:pPr>
      <w:r w:rsidRPr="00383A9F">
        <w:rPr>
          <w:lang/>
        </w:rPr>
        <w:t>Schillinger F,  et al.  Nephrol Dial Transplant. 1996 Mar;11(3):481-5</w:t>
      </w:r>
    </w:p>
    <w:p w14:paraId="3381791E" w14:textId="3E72BB78" w:rsidR="00383A9F" w:rsidRDefault="00383A9F">
      <w:pPr>
        <w:pStyle w:val="a7"/>
        <w:rPr>
          <w:rFonts w:hint="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59836C" w14:textId="77777777" w:rsidR="00AA0BEA" w:rsidRPr="00AA0BEA" w:rsidRDefault="00AA0BEA" w:rsidP="00AA0BEA">
    <w:pPr>
      <w:pStyle w:val="a3"/>
      <w:pBdr>
        <w:bottom w:val="single" w:sz="4" w:space="1" w:color="auto"/>
      </w:pBdr>
      <w:tabs>
        <w:tab w:val="clear" w:pos="4153"/>
        <w:tab w:val="clear" w:pos="8306"/>
        <w:tab w:val="right" w:pos="8311"/>
      </w:tabs>
      <w:spacing w:line="220" w:lineRule="exact"/>
      <w:rPr>
        <w:rFonts w:ascii="David" w:hAnsi="David"/>
        <w:color w:val="000000"/>
        <w:sz w:val="22"/>
        <w:szCs w:val="22"/>
        <w:rtl/>
      </w:rPr>
    </w:pPr>
    <w:r>
      <w:rPr>
        <w:rFonts w:ascii="David" w:hAnsi="David"/>
        <w:color w:val="000000"/>
        <w:sz w:val="22"/>
        <w:szCs w:val="22"/>
        <w:rtl/>
      </w:rPr>
      <w:t xml:space="preserve">ענ (ראשל"צ) 294/03 </w:t>
    </w:r>
    <w:r>
      <w:rPr>
        <w:rFonts w:ascii="David" w:hAnsi="David"/>
        <w:color w:val="000000"/>
        <w:sz w:val="22"/>
        <w:szCs w:val="22"/>
        <w:rtl/>
      </w:rPr>
      <w:tab/>
      <w:t xml:space="preserve"> לוי ניסן נ' משרד הביטחון קצין התגמולים</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731484"/>
    <w:multiLevelType w:val="hybridMultilevel"/>
    <w:tmpl w:val="2BCA2B16"/>
    <w:lvl w:ilvl="0" w:tplc="6F5A6E98">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A102B6"/>
    <w:multiLevelType w:val="hybridMultilevel"/>
    <w:tmpl w:val="87507FCC"/>
    <w:lvl w:ilvl="0" w:tplc="D9AA04EE">
      <w:start w:val="3"/>
      <w:numFmt w:val="decimal"/>
      <w:lvlText w:val="%1."/>
      <w:lvlJc w:val="left"/>
      <w:pPr>
        <w:tabs>
          <w:tab w:val="num" w:pos="1717"/>
        </w:tabs>
        <w:ind w:left="1717" w:hanging="480"/>
      </w:pPr>
      <w:rPr>
        <w:rFonts w:hint="default"/>
      </w:rPr>
    </w:lvl>
    <w:lvl w:ilvl="1" w:tplc="04090019" w:tentative="1">
      <w:start w:val="1"/>
      <w:numFmt w:val="lowerLetter"/>
      <w:lvlText w:val="%2."/>
      <w:lvlJc w:val="left"/>
      <w:pPr>
        <w:tabs>
          <w:tab w:val="num" w:pos="2317"/>
        </w:tabs>
        <w:ind w:left="2317" w:hanging="360"/>
      </w:pPr>
    </w:lvl>
    <w:lvl w:ilvl="2" w:tplc="0409001B" w:tentative="1">
      <w:start w:val="1"/>
      <w:numFmt w:val="lowerRoman"/>
      <w:lvlText w:val="%3."/>
      <w:lvlJc w:val="right"/>
      <w:pPr>
        <w:tabs>
          <w:tab w:val="num" w:pos="3037"/>
        </w:tabs>
        <w:ind w:left="3037" w:hanging="180"/>
      </w:pPr>
    </w:lvl>
    <w:lvl w:ilvl="3" w:tplc="0409000F" w:tentative="1">
      <w:start w:val="1"/>
      <w:numFmt w:val="decimal"/>
      <w:lvlText w:val="%4."/>
      <w:lvlJc w:val="left"/>
      <w:pPr>
        <w:tabs>
          <w:tab w:val="num" w:pos="3757"/>
        </w:tabs>
        <w:ind w:left="3757" w:hanging="360"/>
      </w:pPr>
    </w:lvl>
    <w:lvl w:ilvl="4" w:tplc="04090019" w:tentative="1">
      <w:start w:val="1"/>
      <w:numFmt w:val="lowerLetter"/>
      <w:lvlText w:val="%5."/>
      <w:lvlJc w:val="left"/>
      <w:pPr>
        <w:tabs>
          <w:tab w:val="num" w:pos="4477"/>
        </w:tabs>
        <w:ind w:left="4477" w:hanging="360"/>
      </w:pPr>
    </w:lvl>
    <w:lvl w:ilvl="5" w:tplc="0409001B" w:tentative="1">
      <w:start w:val="1"/>
      <w:numFmt w:val="lowerRoman"/>
      <w:lvlText w:val="%6."/>
      <w:lvlJc w:val="right"/>
      <w:pPr>
        <w:tabs>
          <w:tab w:val="num" w:pos="5197"/>
        </w:tabs>
        <w:ind w:left="5197" w:hanging="180"/>
      </w:pPr>
    </w:lvl>
    <w:lvl w:ilvl="6" w:tplc="0409000F" w:tentative="1">
      <w:start w:val="1"/>
      <w:numFmt w:val="decimal"/>
      <w:lvlText w:val="%7."/>
      <w:lvlJc w:val="left"/>
      <w:pPr>
        <w:tabs>
          <w:tab w:val="num" w:pos="5917"/>
        </w:tabs>
        <w:ind w:left="5917" w:hanging="360"/>
      </w:pPr>
    </w:lvl>
    <w:lvl w:ilvl="7" w:tplc="04090019" w:tentative="1">
      <w:start w:val="1"/>
      <w:numFmt w:val="lowerLetter"/>
      <w:lvlText w:val="%8."/>
      <w:lvlJc w:val="left"/>
      <w:pPr>
        <w:tabs>
          <w:tab w:val="num" w:pos="6637"/>
        </w:tabs>
        <w:ind w:left="6637" w:hanging="360"/>
      </w:pPr>
    </w:lvl>
    <w:lvl w:ilvl="8" w:tplc="0409001B" w:tentative="1">
      <w:start w:val="1"/>
      <w:numFmt w:val="lowerRoman"/>
      <w:lvlText w:val="%9."/>
      <w:lvlJc w:val="right"/>
      <w:pPr>
        <w:tabs>
          <w:tab w:val="num" w:pos="7357"/>
        </w:tabs>
        <w:ind w:left="7357" w:hanging="180"/>
      </w:pPr>
    </w:lvl>
  </w:abstractNum>
  <w:abstractNum w:abstractNumId="2" w15:restartNumberingAfterBreak="0">
    <w:nsid w:val="1B94288B"/>
    <w:multiLevelType w:val="hybridMultilevel"/>
    <w:tmpl w:val="7A2A35E0"/>
    <w:lvl w:ilvl="0" w:tplc="6F0800FE">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F110F"/>
    <w:multiLevelType w:val="hybridMultilevel"/>
    <w:tmpl w:val="B70CC176"/>
    <w:lvl w:ilvl="0" w:tplc="497C8BBC">
      <w:start w:val="1"/>
      <w:numFmt w:val="decimal"/>
      <w:lvlText w:val="%1."/>
      <w:lvlJc w:val="left"/>
      <w:pPr>
        <w:tabs>
          <w:tab w:val="num" w:pos="907"/>
        </w:tabs>
        <w:ind w:left="907" w:hanging="720"/>
      </w:pPr>
      <w:rPr>
        <w:rFonts w:hint="default"/>
      </w:rPr>
    </w:lvl>
    <w:lvl w:ilvl="1" w:tplc="5A56099E">
      <w:start w:val="1"/>
      <w:numFmt w:val="hebrew1"/>
      <w:lvlText w:val="%2."/>
      <w:lvlJc w:val="left"/>
      <w:pPr>
        <w:tabs>
          <w:tab w:val="num" w:pos="1800"/>
        </w:tabs>
        <w:ind w:left="1800" w:hanging="7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9FC5281"/>
    <w:multiLevelType w:val="hybridMultilevel"/>
    <w:tmpl w:val="656670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EA4B1E"/>
    <w:multiLevelType w:val="hybridMultilevel"/>
    <w:tmpl w:val="9DB230F0"/>
    <w:lvl w:ilvl="0" w:tplc="02F005B8">
      <w:start w:val="1"/>
      <w:numFmt w:val="hebrew1"/>
      <w:lvlText w:val="%1."/>
      <w:lvlJc w:val="left"/>
      <w:pPr>
        <w:tabs>
          <w:tab w:val="num" w:pos="1281"/>
        </w:tabs>
        <w:ind w:left="1281" w:hanging="72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6" w15:restartNumberingAfterBreak="0">
    <w:nsid w:val="35250B07"/>
    <w:multiLevelType w:val="hybridMultilevel"/>
    <w:tmpl w:val="DF0A1A1C"/>
    <w:lvl w:ilvl="0" w:tplc="811A4EC2">
      <w:start w:val="1"/>
      <w:numFmt w:val="decimal"/>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abstractNum w:abstractNumId="7" w15:restartNumberingAfterBreak="0">
    <w:nsid w:val="35A374DA"/>
    <w:multiLevelType w:val="hybridMultilevel"/>
    <w:tmpl w:val="9FC49816"/>
    <w:lvl w:ilvl="0" w:tplc="ED183DE4">
      <w:start w:val="2"/>
      <w:numFmt w:val="decimal"/>
      <w:lvlText w:val="%1."/>
      <w:lvlJc w:val="left"/>
      <w:pPr>
        <w:tabs>
          <w:tab w:val="num" w:pos="1506"/>
        </w:tabs>
        <w:ind w:left="1506" w:hanging="360"/>
      </w:pPr>
      <w:rPr>
        <w:rFonts w:hint="default"/>
      </w:rPr>
    </w:lvl>
    <w:lvl w:ilvl="1" w:tplc="04090019" w:tentative="1">
      <w:start w:val="1"/>
      <w:numFmt w:val="lowerLetter"/>
      <w:lvlText w:val="%2."/>
      <w:lvlJc w:val="left"/>
      <w:pPr>
        <w:tabs>
          <w:tab w:val="num" w:pos="2226"/>
        </w:tabs>
        <w:ind w:left="2226" w:hanging="360"/>
      </w:pPr>
    </w:lvl>
    <w:lvl w:ilvl="2" w:tplc="0409001B" w:tentative="1">
      <w:start w:val="1"/>
      <w:numFmt w:val="lowerRoman"/>
      <w:lvlText w:val="%3."/>
      <w:lvlJc w:val="right"/>
      <w:pPr>
        <w:tabs>
          <w:tab w:val="num" w:pos="2946"/>
        </w:tabs>
        <w:ind w:left="2946" w:hanging="180"/>
      </w:pPr>
    </w:lvl>
    <w:lvl w:ilvl="3" w:tplc="0409000F" w:tentative="1">
      <w:start w:val="1"/>
      <w:numFmt w:val="decimal"/>
      <w:lvlText w:val="%4."/>
      <w:lvlJc w:val="left"/>
      <w:pPr>
        <w:tabs>
          <w:tab w:val="num" w:pos="3666"/>
        </w:tabs>
        <w:ind w:left="3666" w:hanging="360"/>
      </w:pPr>
    </w:lvl>
    <w:lvl w:ilvl="4" w:tplc="04090019" w:tentative="1">
      <w:start w:val="1"/>
      <w:numFmt w:val="lowerLetter"/>
      <w:lvlText w:val="%5."/>
      <w:lvlJc w:val="left"/>
      <w:pPr>
        <w:tabs>
          <w:tab w:val="num" w:pos="4386"/>
        </w:tabs>
        <w:ind w:left="4386" w:hanging="360"/>
      </w:pPr>
    </w:lvl>
    <w:lvl w:ilvl="5" w:tplc="0409001B" w:tentative="1">
      <w:start w:val="1"/>
      <w:numFmt w:val="lowerRoman"/>
      <w:lvlText w:val="%6."/>
      <w:lvlJc w:val="right"/>
      <w:pPr>
        <w:tabs>
          <w:tab w:val="num" w:pos="5106"/>
        </w:tabs>
        <w:ind w:left="5106" w:hanging="180"/>
      </w:pPr>
    </w:lvl>
    <w:lvl w:ilvl="6" w:tplc="0409000F" w:tentative="1">
      <w:start w:val="1"/>
      <w:numFmt w:val="decimal"/>
      <w:lvlText w:val="%7."/>
      <w:lvlJc w:val="left"/>
      <w:pPr>
        <w:tabs>
          <w:tab w:val="num" w:pos="5826"/>
        </w:tabs>
        <w:ind w:left="5826" w:hanging="360"/>
      </w:pPr>
    </w:lvl>
    <w:lvl w:ilvl="7" w:tplc="04090019" w:tentative="1">
      <w:start w:val="1"/>
      <w:numFmt w:val="lowerLetter"/>
      <w:lvlText w:val="%8."/>
      <w:lvlJc w:val="left"/>
      <w:pPr>
        <w:tabs>
          <w:tab w:val="num" w:pos="6546"/>
        </w:tabs>
        <w:ind w:left="6546" w:hanging="360"/>
      </w:pPr>
    </w:lvl>
    <w:lvl w:ilvl="8" w:tplc="0409001B" w:tentative="1">
      <w:start w:val="1"/>
      <w:numFmt w:val="lowerRoman"/>
      <w:lvlText w:val="%9."/>
      <w:lvlJc w:val="right"/>
      <w:pPr>
        <w:tabs>
          <w:tab w:val="num" w:pos="7266"/>
        </w:tabs>
        <w:ind w:left="7266" w:hanging="180"/>
      </w:pPr>
    </w:lvl>
  </w:abstractNum>
  <w:abstractNum w:abstractNumId="8" w15:restartNumberingAfterBreak="0">
    <w:nsid w:val="5B271F7D"/>
    <w:multiLevelType w:val="hybridMultilevel"/>
    <w:tmpl w:val="8ADCB756"/>
    <w:lvl w:ilvl="0" w:tplc="07D4B272">
      <w:start w:val="1"/>
      <w:numFmt w:val="hebrew1"/>
      <w:lvlText w:val="%1."/>
      <w:lvlJc w:val="left"/>
      <w:pPr>
        <w:ind w:left="720" w:hanging="360"/>
      </w:pPr>
      <w:rPr>
        <w:rFonts w:hint="default"/>
        <w:b w:val="0"/>
        <w:bCs/>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8D17A7"/>
    <w:multiLevelType w:val="hybridMultilevel"/>
    <w:tmpl w:val="54AA7366"/>
    <w:lvl w:ilvl="0" w:tplc="0FF812DE">
      <w:start w:val="34"/>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4B25DE2"/>
    <w:multiLevelType w:val="hybridMultilevel"/>
    <w:tmpl w:val="9DEABEA2"/>
    <w:lvl w:ilvl="0" w:tplc="AD82F676">
      <w:start w:val="1"/>
      <w:numFmt w:val="hebrew1"/>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EDC3628"/>
    <w:multiLevelType w:val="hybridMultilevel"/>
    <w:tmpl w:val="D0A86B54"/>
    <w:lvl w:ilvl="0" w:tplc="696CECBE">
      <w:start w:val="1"/>
      <w:numFmt w:val="decimal"/>
      <w:lvlText w:val="%1."/>
      <w:lvlJc w:val="left"/>
      <w:pPr>
        <w:ind w:left="1534" w:hanging="360"/>
      </w:pPr>
      <w:rPr>
        <w:rFonts w:hint="default"/>
      </w:rPr>
    </w:lvl>
    <w:lvl w:ilvl="1" w:tplc="04090019">
      <w:start w:val="1"/>
      <w:numFmt w:val="lowerLetter"/>
      <w:lvlText w:val="%2."/>
      <w:lvlJc w:val="left"/>
      <w:pPr>
        <w:ind w:left="2254" w:hanging="360"/>
      </w:pPr>
    </w:lvl>
    <w:lvl w:ilvl="2" w:tplc="0409001B" w:tentative="1">
      <w:start w:val="1"/>
      <w:numFmt w:val="lowerRoman"/>
      <w:lvlText w:val="%3."/>
      <w:lvlJc w:val="right"/>
      <w:pPr>
        <w:ind w:left="2974" w:hanging="180"/>
      </w:pPr>
    </w:lvl>
    <w:lvl w:ilvl="3" w:tplc="0409000F" w:tentative="1">
      <w:start w:val="1"/>
      <w:numFmt w:val="decimal"/>
      <w:lvlText w:val="%4."/>
      <w:lvlJc w:val="left"/>
      <w:pPr>
        <w:ind w:left="3694" w:hanging="360"/>
      </w:pPr>
    </w:lvl>
    <w:lvl w:ilvl="4" w:tplc="04090019" w:tentative="1">
      <w:start w:val="1"/>
      <w:numFmt w:val="lowerLetter"/>
      <w:lvlText w:val="%5."/>
      <w:lvlJc w:val="left"/>
      <w:pPr>
        <w:ind w:left="4414" w:hanging="360"/>
      </w:pPr>
    </w:lvl>
    <w:lvl w:ilvl="5" w:tplc="0409001B" w:tentative="1">
      <w:start w:val="1"/>
      <w:numFmt w:val="lowerRoman"/>
      <w:lvlText w:val="%6."/>
      <w:lvlJc w:val="right"/>
      <w:pPr>
        <w:ind w:left="5134" w:hanging="180"/>
      </w:pPr>
    </w:lvl>
    <w:lvl w:ilvl="6" w:tplc="0409000F" w:tentative="1">
      <w:start w:val="1"/>
      <w:numFmt w:val="decimal"/>
      <w:lvlText w:val="%7."/>
      <w:lvlJc w:val="left"/>
      <w:pPr>
        <w:ind w:left="5854" w:hanging="360"/>
      </w:pPr>
    </w:lvl>
    <w:lvl w:ilvl="7" w:tplc="04090019" w:tentative="1">
      <w:start w:val="1"/>
      <w:numFmt w:val="lowerLetter"/>
      <w:lvlText w:val="%8."/>
      <w:lvlJc w:val="left"/>
      <w:pPr>
        <w:ind w:left="6574" w:hanging="360"/>
      </w:pPr>
    </w:lvl>
    <w:lvl w:ilvl="8" w:tplc="0409001B" w:tentative="1">
      <w:start w:val="1"/>
      <w:numFmt w:val="lowerRoman"/>
      <w:lvlText w:val="%9."/>
      <w:lvlJc w:val="right"/>
      <w:pPr>
        <w:ind w:left="7294" w:hanging="180"/>
      </w:pPr>
    </w:lvl>
  </w:abstractNum>
  <w:abstractNum w:abstractNumId="12" w15:restartNumberingAfterBreak="0">
    <w:nsid w:val="786B62AD"/>
    <w:multiLevelType w:val="hybridMultilevel"/>
    <w:tmpl w:val="8CFE8EAA"/>
    <w:lvl w:ilvl="0" w:tplc="A3BAA172">
      <w:start w:val="1"/>
      <w:numFmt w:val="hebrew1"/>
      <w:lvlText w:val="%1."/>
      <w:lvlJc w:val="left"/>
      <w:pPr>
        <w:ind w:left="720" w:hanging="360"/>
      </w:pPr>
      <w:rPr>
        <w:rFonts w:hint="default"/>
        <w:b w:val="0"/>
        <w:bCs/>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F141B2"/>
    <w:multiLevelType w:val="hybridMultilevel"/>
    <w:tmpl w:val="467A259A"/>
    <w:lvl w:ilvl="0" w:tplc="284C509E">
      <w:start w:val="1"/>
      <w:numFmt w:val="hebrew1"/>
      <w:lvlText w:val="%1."/>
      <w:lvlJc w:val="left"/>
      <w:pPr>
        <w:tabs>
          <w:tab w:val="num" w:pos="1147"/>
        </w:tabs>
        <w:ind w:left="1147" w:hanging="375"/>
      </w:pPr>
      <w:rPr>
        <w:rFonts w:hint="default"/>
      </w:rPr>
    </w:lvl>
    <w:lvl w:ilvl="1" w:tplc="04090019" w:tentative="1">
      <w:start w:val="1"/>
      <w:numFmt w:val="lowerLetter"/>
      <w:lvlText w:val="%2."/>
      <w:lvlJc w:val="left"/>
      <w:pPr>
        <w:tabs>
          <w:tab w:val="num" w:pos="1852"/>
        </w:tabs>
        <w:ind w:left="1852" w:hanging="360"/>
      </w:pPr>
    </w:lvl>
    <w:lvl w:ilvl="2" w:tplc="0409001B" w:tentative="1">
      <w:start w:val="1"/>
      <w:numFmt w:val="lowerRoman"/>
      <w:lvlText w:val="%3."/>
      <w:lvlJc w:val="right"/>
      <w:pPr>
        <w:tabs>
          <w:tab w:val="num" w:pos="2572"/>
        </w:tabs>
        <w:ind w:left="2572" w:hanging="180"/>
      </w:pPr>
    </w:lvl>
    <w:lvl w:ilvl="3" w:tplc="0409000F" w:tentative="1">
      <w:start w:val="1"/>
      <w:numFmt w:val="decimal"/>
      <w:lvlText w:val="%4."/>
      <w:lvlJc w:val="left"/>
      <w:pPr>
        <w:tabs>
          <w:tab w:val="num" w:pos="3292"/>
        </w:tabs>
        <w:ind w:left="3292" w:hanging="360"/>
      </w:pPr>
    </w:lvl>
    <w:lvl w:ilvl="4" w:tplc="04090019" w:tentative="1">
      <w:start w:val="1"/>
      <w:numFmt w:val="lowerLetter"/>
      <w:lvlText w:val="%5."/>
      <w:lvlJc w:val="left"/>
      <w:pPr>
        <w:tabs>
          <w:tab w:val="num" w:pos="4012"/>
        </w:tabs>
        <w:ind w:left="4012" w:hanging="360"/>
      </w:pPr>
    </w:lvl>
    <w:lvl w:ilvl="5" w:tplc="0409001B" w:tentative="1">
      <w:start w:val="1"/>
      <w:numFmt w:val="lowerRoman"/>
      <w:lvlText w:val="%6."/>
      <w:lvlJc w:val="right"/>
      <w:pPr>
        <w:tabs>
          <w:tab w:val="num" w:pos="4732"/>
        </w:tabs>
        <w:ind w:left="4732" w:hanging="180"/>
      </w:pPr>
    </w:lvl>
    <w:lvl w:ilvl="6" w:tplc="0409000F" w:tentative="1">
      <w:start w:val="1"/>
      <w:numFmt w:val="decimal"/>
      <w:lvlText w:val="%7."/>
      <w:lvlJc w:val="left"/>
      <w:pPr>
        <w:tabs>
          <w:tab w:val="num" w:pos="5452"/>
        </w:tabs>
        <w:ind w:left="5452" w:hanging="360"/>
      </w:pPr>
    </w:lvl>
    <w:lvl w:ilvl="7" w:tplc="04090019" w:tentative="1">
      <w:start w:val="1"/>
      <w:numFmt w:val="lowerLetter"/>
      <w:lvlText w:val="%8."/>
      <w:lvlJc w:val="left"/>
      <w:pPr>
        <w:tabs>
          <w:tab w:val="num" w:pos="6172"/>
        </w:tabs>
        <w:ind w:left="6172" w:hanging="360"/>
      </w:pPr>
    </w:lvl>
    <w:lvl w:ilvl="8" w:tplc="0409001B" w:tentative="1">
      <w:start w:val="1"/>
      <w:numFmt w:val="lowerRoman"/>
      <w:lvlText w:val="%9."/>
      <w:lvlJc w:val="right"/>
      <w:pPr>
        <w:tabs>
          <w:tab w:val="num" w:pos="6892"/>
        </w:tabs>
        <w:ind w:left="6892" w:hanging="180"/>
      </w:pPr>
    </w:lvl>
  </w:abstractNum>
  <w:num w:numId="1" w16cid:durableId="1348554832">
    <w:abstractNumId w:val="3"/>
  </w:num>
  <w:num w:numId="2" w16cid:durableId="672412298">
    <w:abstractNumId w:val="5"/>
  </w:num>
  <w:num w:numId="3" w16cid:durableId="1299648120">
    <w:abstractNumId w:val="10"/>
  </w:num>
  <w:num w:numId="4" w16cid:durableId="1227447727">
    <w:abstractNumId w:val="2"/>
  </w:num>
  <w:num w:numId="5" w16cid:durableId="1617978925">
    <w:abstractNumId w:val="9"/>
  </w:num>
  <w:num w:numId="6" w16cid:durableId="1134834453">
    <w:abstractNumId w:val="0"/>
  </w:num>
  <w:num w:numId="7" w16cid:durableId="342368469">
    <w:abstractNumId w:val="6"/>
  </w:num>
  <w:num w:numId="8" w16cid:durableId="1772581598">
    <w:abstractNumId w:val="13"/>
  </w:num>
  <w:num w:numId="9" w16cid:durableId="935745800">
    <w:abstractNumId w:val="1"/>
  </w:num>
  <w:num w:numId="10" w16cid:durableId="1182860394">
    <w:abstractNumId w:val="7"/>
  </w:num>
  <w:num w:numId="11" w16cid:durableId="211188433">
    <w:abstractNumId w:val="12"/>
  </w:num>
  <w:num w:numId="12" w16cid:durableId="293147655">
    <w:abstractNumId w:val="8"/>
  </w:num>
  <w:num w:numId="13" w16cid:durableId="1409885344">
    <w:abstractNumId w:val="11"/>
  </w:num>
  <w:num w:numId="14" w16cid:durableId="16986562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yInfo" w:val="This document was extracted from Nevo's site"/>
  </w:docVars>
  <w:rsids>
    <w:rsidRoot w:val="00067DAC"/>
    <w:rsid w:val="00002A9C"/>
    <w:rsid w:val="00030BFB"/>
    <w:rsid w:val="000469BE"/>
    <w:rsid w:val="00053523"/>
    <w:rsid w:val="00062BDD"/>
    <w:rsid w:val="00067DAC"/>
    <w:rsid w:val="00070741"/>
    <w:rsid w:val="0007549F"/>
    <w:rsid w:val="000A024D"/>
    <w:rsid w:val="000C08B2"/>
    <w:rsid w:val="000D4BEC"/>
    <w:rsid w:val="000F100D"/>
    <w:rsid w:val="000F2696"/>
    <w:rsid w:val="000F30C6"/>
    <w:rsid w:val="000F685F"/>
    <w:rsid w:val="00103077"/>
    <w:rsid w:val="001052A1"/>
    <w:rsid w:val="001062A3"/>
    <w:rsid w:val="00116DE9"/>
    <w:rsid w:val="0012249A"/>
    <w:rsid w:val="00127081"/>
    <w:rsid w:val="00133D1C"/>
    <w:rsid w:val="00142B3A"/>
    <w:rsid w:val="00144A00"/>
    <w:rsid w:val="001574CA"/>
    <w:rsid w:val="00162D4E"/>
    <w:rsid w:val="001B5A76"/>
    <w:rsid w:val="001F519B"/>
    <w:rsid w:val="002339E2"/>
    <w:rsid w:val="00237225"/>
    <w:rsid w:val="00237F98"/>
    <w:rsid w:val="002554DA"/>
    <w:rsid w:val="00263F55"/>
    <w:rsid w:val="00272B7C"/>
    <w:rsid w:val="0028150B"/>
    <w:rsid w:val="002A45DF"/>
    <w:rsid w:val="002B1C41"/>
    <w:rsid w:val="002D2A16"/>
    <w:rsid w:val="002D2F9E"/>
    <w:rsid w:val="002F7CDE"/>
    <w:rsid w:val="00314962"/>
    <w:rsid w:val="003177E1"/>
    <w:rsid w:val="00326219"/>
    <w:rsid w:val="0033108F"/>
    <w:rsid w:val="00331531"/>
    <w:rsid w:val="00334BF5"/>
    <w:rsid w:val="003461F8"/>
    <w:rsid w:val="0035243D"/>
    <w:rsid w:val="00356F0E"/>
    <w:rsid w:val="003603DF"/>
    <w:rsid w:val="00371D4B"/>
    <w:rsid w:val="00373162"/>
    <w:rsid w:val="00383A9F"/>
    <w:rsid w:val="003B0DF0"/>
    <w:rsid w:val="003C1DF8"/>
    <w:rsid w:val="003C493B"/>
    <w:rsid w:val="0040496B"/>
    <w:rsid w:val="00405D35"/>
    <w:rsid w:val="004105FB"/>
    <w:rsid w:val="004336CD"/>
    <w:rsid w:val="0043600A"/>
    <w:rsid w:val="00442BD8"/>
    <w:rsid w:val="004459D7"/>
    <w:rsid w:val="004536ED"/>
    <w:rsid w:val="00465255"/>
    <w:rsid w:val="00473D04"/>
    <w:rsid w:val="004754F2"/>
    <w:rsid w:val="0048048E"/>
    <w:rsid w:val="004823E2"/>
    <w:rsid w:val="004E305A"/>
    <w:rsid w:val="004E5D2F"/>
    <w:rsid w:val="004E78CB"/>
    <w:rsid w:val="004F079F"/>
    <w:rsid w:val="005153BD"/>
    <w:rsid w:val="0051785C"/>
    <w:rsid w:val="00521AF3"/>
    <w:rsid w:val="00525C68"/>
    <w:rsid w:val="00553244"/>
    <w:rsid w:val="00570E1C"/>
    <w:rsid w:val="0057208E"/>
    <w:rsid w:val="00584C7D"/>
    <w:rsid w:val="005A46C5"/>
    <w:rsid w:val="005C6D23"/>
    <w:rsid w:val="0062478F"/>
    <w:rsid w:val="00626836"/>
    <w:rsid w:val="00641280"/>
    <w:rsid w:val="00642060"/>
    <w:rsid w:val="006433D9"/>
    <w:rsid w:val="0065449B"/>
    <w:rsid w:val="006717AB"/>
    <w:rsid w:val="00672297"/>
    <w:rsid w:val="00674CB0"/>
    <w:rsid w:val="00686A58"/>
    <w:rsid w:val="00691314"/>
    <w:rsid w:val="006944DE"/>
    <w:rsid w:val="006A0993"/>
    <w:rsid w:val="006B3CC7"/>
    <w:rsid w:val="00711EB7"/>
    <w:rsid w:val="0071293F"/>
    <w:rsid w:val="007158E0"/>
    <w:rsid w:val="0071779B"/>
    <w:rsid w:val="00725268"/>
    <w:rsid w:val="007558D6"/>
    <w:rsid w:val="00757119"/>
    <w:rsid w:val="00764228"/>
    <w:rsid w:val="007930A3"/>
    <w:rsid w:val="00796D63"/>
    <w:rsid w:val="007A44AD"/>
    <w:rsid w:val="007B2916"/>
    <w:rsid w:val="007B33D2"/>
    <w:rsid w:val="007C0B68"/>
    <w:rsid w:val="007D2632"/>
    <w:rsid w:val="007E12A3"/>
    <w:rsid w:val="007E76E7"/>
    <w:rsid w:val="007F3395"/>
    <w:rsid w:val="007F5BD6"/>
    <w:rsid w:val="008017A4"/>
    <w:rsid w:val="008208FF"/>
    <w:rsid w:val="0082564B"/>
    <w:rsid w:val="00835E2C"/>
    <w:rsid w:val="0084261A"/>
    <w:rsid w:val="0085752D"/>
    <w:rsid w:val="008627AF"/>
    <w:rsid w:val="00864887"/>
    <w:rsid w:val="0086600A"/>
    <w:rsid w:val="00873BBD"/>
    <w:rsid w:val="008942EA"/>
    <w:rsid w:val="008A3ADC"/>
    <w:rsid w:val="008C4FA2"/>
    <w:rsid w:val="008F0BAF"/>
    <w:rsid w:val="008F2304"/>
    <w:rsid w:val="008F61BB"/>
    <w:rsid w:val="008F638A"/>
    <w:rsid w:val="0090309B"/>
    <w:rsid w:val="0090390B"/>
    <w:rsid w:val="009433A8"/>
    <w:rsid w:val="00954E66"/>
    <w:rsid w:val="00957D4A"/>
    <w:rsid w:val="00961D28"/>
    <w:rsid w:val="00963F8D"/>
    <w:rsid w:val="00967204"/>
    <w:rsid w:val="00970E07"/>
    <w:rsid w:val="00974CA1"/>
    <w:rsid w:val="009A3239"/>
    <w:rsid w:val="009D0117"/>
    <w:rsid w:val="009D4515"/>
    <w:rsid w:val="00A04DD6"/>
    <w:rsid w:val="00A21141"/>
    <w:rsid w:val="00A30ADE"/>
    <w:rsid w:val="00A5175A"/>
    <w:rsid w:val="00A72ED3"/>
    <w:rsid w:val="00A9654B"/>
    <w:rsid w:val="00AA0BEA"/>
    <w:rsid w:val="00AA1191"/>
    <w:rsid w:val="00AA5A73"/>
    <w:rsid w:val="00AA63A5"/>
    <w:rsid w:val="00AB5900"/>
    <w:rsid w:val="00AD5908"/>
    <w:rsid w:val="00B00461"/>
    <w:rsid w:val="00B15402"/>
    <w:rsid w:val="00B25E0A"/>
    <w:rsid w:val="00B3616A"/>
    <w:rsid w:val="00B45296"/>
    <w:rsid w:val="00B5359C"/>
    <w:rsid w:val="00B5504B"/>
    <w:rsid w:val="00B60D0E"/>
    <w:rsid w:val="00B63C8C"/>
    <w:rsid w:val="00B828CB"/>
    <w:rsid w:val="00B87F0D"/>
    <w:rsid w:val="00B91E3D"/>
    <w:rsid w:val="00B9646F"/>
    <w:rsid w:val="00BB0D3B"/>
    <w:rsid w:val="00BB728E"/>
    <w:rsid w:val="00BC512C"/>
    <w:rsid w:val="00BC6B48"/>
    <w:rsid w:val="00BD173F"/>
    <w:rsid w:val="00BD710C"/>
    <w:rsid w:val="00BE6C2F"/>
    <w:rsid w:val="00BE70E0"/>
    <w:rsid w:val="00C10FDB"/>
    <w:rsid w:val="00C275CE"/>
    <w:rsid w:val="00C47FB0"/>
    <w:rsid w:val="00C5211C"/>
    <w:rsid w:val="00C75A16"/>
    <w:rsid w:val="00CA32CB"/>
    <w:rsid w:val="00CA4054"/>
    <w:rsid w:val="00CB0F50"/>
    <w:rsid w:val="00CC0CE4"/>
    <w:rsid w:val="00CC23F8"/>
    <w:rsid w:val="00CD5393"/>
    <w:rsid w:val="00D141FB"/>
    <w:rsid w:val="00D17B25"/>
    <w:rsid w:val="00D27C24"/>
    <w:rsid w:val="00D74A4D"/>
    <w:rsid w:val="00D771CA"/>
    <w:rsid w:val="00D83021"/>
    <w:rsid w:val="00D8527F"/>
    <w:rsid w:val="00D9107F"/>
    <w:rsid w:val="00DA1A85"/>
    <w:rsid w:val="00DA47EB"/>
    <w:rsid w:val="00DB3DE6"/>
    <w:rsid w:val="00DD6DD1"/>
    <w:rsid w:val="00DF7F49"/>
    <w:rsid w:val="00E218AB"/>
    <w:rsid w:val="00E21F57"/>
    <w:rsid w:val="00E42B20"/>
    <w:rsid w:val="00E45EA0"/>
    <w:rsid w:val="00E503D3"/>
    <w:rsid w:val="00E901E7"/>
    <w:rsid w:val="00ED26DE"/>
    <w:rsid w:val="00F01C99"/>
    <w:rsid w:val="00F07883"/>
    <w:rsid w:val="00F109B3"/>
    <w:rsid w:val="00F12CE0"/>
    <w:rsid w:val="00F26A6E"/>
    <w:rsid w:val="00F36883"/>
    <w:rsid w:val="00F65DC6"/>
    <w:rsid w:val="00F80F81"/>
    <w:rsid w:val="00F944A6"/>
    <w:rsid w:val="00FA2B0B"/>
    <w:rsid w:val="00FA452F"/>
    <w:rsid w:val="00FB28A3"/>
    <w:rsid w:val="00FC268B"/>
    <w:rsid w:val="00FC7CCF"/>
    <w:rsid w:val="00FD1A2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5923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5D2F"/>
    <w:pPr>
      <w:bidi/>
    </w:pPr>
    <w:rPr>
      <w:rFonts w:cs="David"/>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
    <w:name w:val="רגיל-דוד"/>
    <w:rsid w:val="00F12CE0"/>
    <w:pPr>
      <w:autoSpaceDE w:val="0"/>
      <w:autoSpaceDN w:val="0"/>
      <w:adjustRightInd w:val="0"/>
    </w:pPr>
    <w:rPr>
      <w:rFonts w:cs="QDavid"/>
      <w:sz w:val="24"/>
      <w:szCs w:val="24"/>
    </w:rPr>
  </w:style>
  <w:style w:type="paragraph" w:styleId="a3">
    <w:name w:val="header"/>
    <w:basedOn w:val="a"/>
    <w:rsid w:val="000F100D"/>
    <w:pPr>
      <w:tabs>
        <w:tab w:val="center" w:pos="4153"/>
        <w:tab w:val="right" w:pos="8306"/>
      </w:tabs>
    </w:pPr>
  </w:style>
  <w:style w:type="character" w:styleId="a4">
    <w:name w:val="page number"/>
    <w:basedOn w:val="a0"/>
    <w:rsid w:val="000F100D"/>
  </w:style>
  <w:style w:type="paragraph" w:styleId="a5">
    <w:name w:val="footer"/>
    <w:basedOn w:val="a"/>
    <w:rsid w:val="00AA0BEA"/>
    <w:pPr>
      <w:tabs>
        <w:tab w:val="center" w:pos="4320"/>
        <w:tab w:val="right" w:pos="8640"/>
      </w:tabs>
    </w:pPr>
  </w:style>
  <w:style w:type="character" w:styleId="Hyperlink">
    <w:name w:val="Hyperlink"/>
    <w:rsid w:val="00142B3A"/>
    <w:rPr>
      <w:color w:val="0000FF"/>
      <w:u w:val="single"/>
    </w:rPr>
  </w:style>
  <w:style w:type="paragraph" w:styleId="a6">
    <w:name w:val="List Paragraph"/>
    <w:basedOn w:val="a"/>
    <w:uiPriority w:val="34"/>
    <w:qFormat/>
    <w:rsid w:val="006B3CC7"/>
    <w:pPr>
      <w:ind w:left="720"/>
    </w:pPr>
  </w:style>
  <w:style w:type="paragraph" w:styleId="a7">
    <w:name w:val="footnote text"/>
    <w:basedOn w:val="a"/>
    <w:link w:val="a8"/>
    <w:rsid w:val="00DA1A85"/>
    <w:rPr>
      <w:sz w:val="20"/>
      <w:szCs w:val="20"/>
    </w:rPr>
  </w:style>
  <w:style w:type="character" w:customStyle="1" w:styleId="a8">
    <w:name w:val="טקסט הערת שוליים תו"/>
    <w:basedOn w:val="a0"/>
    <w:link w:val="a7"/>
    <w:rsid w:val="00DA1A85"/>
    <w:rPr>
      <w:rFonts w:cs="David"/>
    </w:rPr>
  </w:style>
  <w:style w:type="character" w:styleId="a9">
    <w:name w:val="footnote reference"/>
    <w:basedOn w:val="a0"/>
    <w:rsid w:val="00DA1A85"/>
    <w:rPr>
      <w:vertAlign w:val="superscript"/>
    </w:rPr>
  </w:style>
  <w:style w:type="paragraph" w:styleId="aa">
    <w:name w:val="Balloon Text"/>
    <w:basedOn w:val="a"/>
    <w:link w:val="ab"/>
    <w:rsid w:val="000F685F"/>
    <w:rPr>
      <w:rFonts w:ascii="Tahoma" w:hAnsi="Tahoma" w:cs="Tahoma"/>
      <w:sz w:val="16"/>
      <w:szCs w:val="16"/>
    </w:rPr>
  </w:style>
  <w:style w:type="character" w:customStyle="1" w:styleId="ab">
    <w:name w:val="טקסט בלונים תו"/>
    <w:basedOn w:val="a0"/>
    <w:link w:val="aa"/>
    <w:rsid w:val="000F685F"/>
    <w:rPr>
      <w:rFonts w:ascii="Tahoma" w:hAnsi="Tahoma" w:cs="Tahoma"/>
      <w:sz w:val="16"/>
      <w:szCs w:val="16"/>
    </w:rPr>
  </w:style>
  <w:style w:type="character" w:styleId="ac">
    <w:name w:val="Unresolved Mention"/>
    <w:basedOn w:val="a0"/>
    <w:rsid w:val="008627AF"/>
    <w:rPr>
      <w:color w:val="605E5C"/>
      <w:shd w:val="clear" w:color="auto" w:fill="E1DFDD"/>
    </w:rPr>
  </w:style>
  <w:style w:type="paragraph" w:styleId="ad">
    <w:name w:val="Body Text"/>
    <w:basedOn w:val="a"/>
    <w:link w:val="ae"/>
    <w:semiHidden/>
    <w:unhideWhenUsed/>
    <w:rsid w:val="00237225"/>
    <w:pPr>
      <w:spacing w:after="120"/>
    </w:pPr>
  </w:style>
  <w:style w:type="character" w:customStyle="1" w:styleId="ae">
    <w:name w:val="גוף טקסט תו"/>
    <w:basedOn w:val="a0"/>
    <w:link w:val="ad"/>
    <w:semiHidden/>
    <w:rsid w:val="00237225"/>
    <w:rPr>
      <w:rFonts w:cs="David"/>
      <w:sz w:val="24"/>
      <w:szCs w:val="24"/>
    </w:rPr>
  </w:style>
  <w:style w:type="character" w:customStyle="1" w:styleId="1">
    <w:name w:val="גוף טקסט תו1"/>
    <w:basedOn w:val="a0"/>
    <w:uiPriority w:val="99"/>
    <w:rsid w:val="00BB0D3B"/>
    <w:rPr>
      <w:rFonts w:ascii="Calibri" w:hAnsi="Calibri" w:cs="Calibri"/>
      <w:color w:val="000000"/>
      <w:spacing w:val="0"/>
      <w:w w:val="100"/>
      <w:position w:val="0"/>
      <w:sz w:val="24"/>
      <w:szCs w:val="24"/>
      <w:u w:val="none"/>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ffice@freiberg-law.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png"/><Relationship Id="rId5" Type="http://schemas.openxmlformats.org/officeDocument/2006/relationships/webSettings" Target="webSettings.xml"/><Relationship Id="rId1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footer" Target="foot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21FF5-BD03-40EC-9FE9-5C1871323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7</Pages>
  <Words>1968</Words>
  <Characters>9963</Characters>
  <Application>Microsoft Office Word</Application>
  <DocSecurity>0</DocSecurity>
  <Lines>83</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ariel f</cp:lastModifiedBy>
  <cp:revision>8</cp:revision>
  <cp:lastPrinted>2024-09-08T07:38:00Z</cp:lastPrinted>
  <dcterms:created xsi:type="dcterms:W3CDTF">2024-09-05T12:02:00Z</dcterms:created>
  <dcterms:modified xsi:type="dcterms:W3CDTF">2024-09-08T08:21:00Z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-1359179781</vt:i4>
  </property>
  <property fmtid="{D5CDD505-2E9C-101B-9397-08002B2CF9AE}" pid="3" name="_EmailSubject">
    <vt:lpwstr/>
  </property>
  <property fmtid="{D5CDD505-2E9C-101B-9397-08002B2CF9AE}" pid="4" name="_AuthorEmail">
    <vt:lpwstr>avital@zenoulaw.co.il</vt:lpwstr>
  </property>
  <property fmtid="{D5CDD505-2E9C-101B-9397-08002B2CF9AE}" pid="5" name="_AuthorEmailDisplayName">
    <vt:lpwstr>Avital</vt:lpwstr>
  </property>
  <property fmtid="{D5CDD505-2E9C-101B-9397-08002B2CF9AE}" pid="6" name="_ReviewingToolsShownOnce">
    <vt:lpwstr/>
  </property>
  <property fmtid="{D5CDD505-2E9C-101B-9397-08002B2CF9AE}" pid="7" name="WORDNUMPAGES">
    <vt:lpwstr>12</vt:lpwstr>
  </property>
  <property fmtid="{D5CDD505-2E9C-101B-9397-08002B2CF9AE}" pid="8" name="PROCESS">
    <vt:lpwstr>ענ</vt:lpwstr>
  </property>
  <property fmtid="{D5CDD505-2E9C-101B-9397-08002B2CF9AE}" pid="9" name="PROCNUM">
    <vt:lpwstr>294</vt:lpwstr>
  </property>
  <property fmtid="{D5CDD505-2E9C-101B-9397-08002B2CF9AE}" pid="10" name="PROCYEAR">
    <vt:lpwstr>03</vt:lpwstr>
  </property>
  <property fmtid="{D5CDD505-2E9C-101B-9397-08002B2CF9AE}" pid="11" name="JUDGE">
    <vt:lpwstr>שילה</vt:lpwstr>
  </property>
  <property fmtid="{D5CDD505-2E9C-101B-9397-08002B2CF9AE}" pid="12" name="CITY">
    <vt:lpwstr>ראשל"צ</vt:lpwstr>
  </property>
  <property fmtid="{D5CDD505-2E9C-101B-9397-08002B2CF9AE}" pid="13" name="APPELLANT">
    <vt:lpwstr>לוי ניסן</vt:lpwstr>
  </property>
  <property fmtid="{D5CDD505-2E9C-101B-9397-08002B2CF9AE}" pid="14" name="APPELLEE">
    <vt:lpwstr>משרד הביטחון קצין התגמולים</vt:lpwstr>
  </property>
  <property fmtid="{D5CDD505-2E9C-101B-9397-08002B2CF9AE}" pid="15" name="PSAKDIN">
    <vt:lpwstr>כתב ערעור</vt:lpwstr>
  </property>
  <property fmtid="{D5CDD505-2E9C-101B-9397-08002B2CF9AE}" pid="16" name="LAWYER">
    <vt:lpwstr>קורין יצחקי</vt:lpwstr>
  </property>
  <property fmtid="{D5CDD505-2E9C-101B-9397-08002B2CF9AE}" pid="17" name="DATE">
    <vt:lpwstr>20090405</vt:lpwstr>
  </property>
  <property fmtid="{D5CDD505-2E9C-101B-9397-08002B2CF9AE}" pid="18" name="TYPE">
    <vt:lpwstr>9</vt:lpwstr>
  </property>
  <property fmtid="{D5CDD505-2E9C-101B-9397-08002B2CF9AE}" pid="19" name="VOLUME">
    <vt:lpwstr/>
  </property>
  <property fmtid="{D5CDD505-2E9C-101B-9397-08002B2CF9AE}" pid="20" name="PART">
    <vt:lpwstr/>
  </property>
  <property fmtid="{D5CDD505-2E9C-101B-9397-08002B2CF9AE}" pid="21" name="PAGE">
    <vt:lpwstr/>
  </property>
  <property fmtid="{D5CDD505-2E9C-101B-9397-08002B2CF9AE}" pid="22" name="PADIMAIL">
    <vt:lpwstr/>
  </property>
  <property fmtid="{D5CDD505-2E9C-101B-9397-08002B2CF9AE}" pid="23" name="DELEMATA">
    <vt:lpwstr/>
  </property>
  <property fmtid="{D5CDD505-2E9C-101B-9397-08002B2CF9AE}" pid="24" name="LINKK1">
    <vt:lpwstr>http://www.nevo.co.il/Psika_word/shalom/s03000294-374.doc;להחלטה בשלום (30-06-2005)#וע 294/03 לוי ניסן נ' קצין התגמולים#שופטים: שלומית יעקובוביץ, אשכנזי, חפץ#עו''ד: ק. יצחקי</vt:lpwstr>
  </property>
  <property fmtid="{D5CDD505-2E9C-101B-9397-08002B2CF9AE}" pid="25" name="LINKK2">
    <vt:lpwstr>http://www.nevo.co.il/Psika_word/shalom/s03000294-258.doc;להחלטה בשלום (31-12-2006)#וע 294/03 לוי ניסן נ' קצין התגמולים#שופטים: שלומית יעקובוביץ#עו''ד: ק. יצחקי</vt:lpwstr>
  </property>
  <property fmtid="{D5CDD505-2E9C-101B-9397-08002B2CF9AE}" pid="26" name="LINKK3">
    <vt:lpwstr>http://www.nevo.co.il/Psika_word/kitvey/s03000294-b-kt.doc;לתגובה בטענות (05-04-2009)#וע 294/03 לוי ניסן - ב"כ עו"ד קורין יצחקי נ' קצין התגמולים לפי חוק הנכים#שופטים: יעקובוביץ#עו''ד: קורין יצחקי</vt:lpwstr>
  </property>
  <property fmtid="{D5CDD505-2E9C-101B-9397-08002B2CF9AE}" pid="27" name="LINKK4">
    <vt:lpwstr>http://www.nevo.co.il/Psika_word/kitvey/s03000294-kt.doc;לסיכומים בטענות (05-04-2009)#ענ 294/03 לוי ניסן - ב"כ עו"ד קורין יצחקי נ' משרד הביטחון קצין התגמולים#שופטים: יעקובוביץ#עו''ד: קורין יצחקי</vt:lpwstr>
  </property>
  <property fmtid="{D5CDD505-2E9C-101B-9397-08002B2CF9AE}" pid="28" name="LINKK5">
    <vt:lpwstr/>
  </property>
  <property fmtid="{D5CDD505-2E9C-101B-9397-08002B2CF9AE}" pid="29" name="LINKK6">
    <vt:lpwstr/>
  </property>
  <property fmtid="{D5CDD505-2E9C-101B-9397-08002B2CF9AE}" pid="30" name="LINKK7">
    <vt:lpwstr/>
  </property>
  <property fmtid="{D5CDD505-2E9C-101B-9397-08002B2CF9AE}" pid="31" name="LINKK8">
    <vt:lpwstr/>
  </property>
  <property fmtid="{D5CDD505-2E9C-101B-9397-08002B2CF9AE}" pid="32" name="LINKK9">
    <vt:lpwstr/>
  </property>
  <property fmtid="{D5CDD505-2E9C-101B-9397-08002B2CF9AE}" pid="33" name="LINKK10">
    <vt:lpwstr/>
  </property>
  <property fmtid="{D5CDD505-2E9C-101B-9397-08002B2CF9AE}" pid="34" name="LINKK11">
    <vt:lpwstr/>
  </property>
  <property fmtid="{D5CDD505-2E9C-101B-9397-08002B2CF9AE}" pid="35" name="LINKK12">
    <vt:lpwstr/>
  </property>
  <property fmtid="{D5CDD505-2E9C-101B-9397-08002B2CF9AE}" pid="36" name="NEWPROC">
    <vt:lpwstr/>
  </property>
  <property fmtid="{D5CDD505-2E9C-101B-9397-08002B2CF9AE}" pid="37" name="NEWPARTA">
    <vt:lpwstr/>
  </property>
  <property fmtid="{D5CDD505-2E9C-101B-9397-08002B2CF9AE}" pid="38" name="NEWPARTB">
    <vt:lpwstr/>
  </property>
  <property fmtid="{D5CDD505-2E9C-101B-9397-08002B2CF9AE}" pid="39" name="NEWPARTC">
    <vt:lpwstr/>
  </property>
  <property fmtid="{D5CDD505-2E9C-101B-9397-08002B2CF9AE}" pid="40" name="TYPE_N_DATE">
    <vt:lpwstr>28020090405</vt:lpwstr>
  </property>
  <property fmtid="{D5CDD505-2E9C-101B-9397-08002B2CF9AE}" pid="41" name="TYPE_ABS_DATE">
    <vt:lpwstr>280020090405</vt:lpwstr>
  </property>
  <property fmtid="{D5CDD505-2E9C-101B-9397-08002B2CF9AE}" pid="42" name="Creator">
    <vt:lpwstr>OdcanitPlatinum</vt:lpwstr>
  </property>
  <property fmtid="{D5CDD505-2E9C-101B-9397-08002B2CF9AE}" pid="43" name="PlatDBName">
    <vt:lpwstr>odlight_1830</vt:lpwstr>
  </property>
  <property fmtid="{D5CDD505-2E9C-101B-9397-08002B2CF9AE}" pid="44" name="MachineName">
    <vt:lpwstr>AF</vt:lpwstr>
  </property>
  <property fmtid="{D5CDD505-2E9C-101B-9397-08002B2CF9AE}" pid="45" name="DocCounter">
    <vt:lpwstr>1016576</vt:lpwstr>
  </property>
</Properties>
</file>