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21B331F" w:rsidR="00086A6A" w:rsidRPr="00563888" w:rsidRDefault="00086A6A" w:rsidP="00086A6A">
            <w:pPr>
              <w:pStyle w:val="a8"/>
              <w:spacing w:line="240" w:lineRule="auto"/>
              <w:jc w:val="center"/>
              <w:rPr>
                <w:b/>
                <w:bCs/>
                <w:sz w:val="22"/>
                <w:szCs w:val="22"/>
                <w:rtl/>
              </w:rPr>
            </w:pPr>
            <w:r w:rsidRPr="00563888">
              <w:rPr>
                <w:rFonts w:hint="cs"/>
                <w:b/>
                <w:bCs/>
                <w:sz w:val="22"/>
                <w:szCs w:val="22"/>
                <w:rtl/>
              </w:rPr>
              <w:t xml:space="preserve">בדוא"ל </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2D23822A" w14:textId="4645531C" w:rsidR="00086A6A" w:rsidRPr="00086A6A" w:rsidRDefault="00D3318F" w:rsidP="00086A6A">
      <w:pPr>
        <w:pStyle w:val="a8"/>
        <w:spacing w:line="240" w:lineRule="auto"/>
        <w:rPr>
          <w:b/>
          <w:bCs/>
          <w:sz w:val="24"/>
          <w:rtl/>
        </w:rPr>
      </w:pPr>
      <w:r w:rsidRPr="00F91DA4">
        <w:rPr>
          <w:rFonts w:hint="cs"/>
          <w:b/>
          <w:bCs/>
          <w:sz w:val="24"/>
          <w:rtl/>
        </w:rPr>
        <w:t>לכבוד</w:t>
      </w:r>
    </w:p>
    <w:p w14:paraId="65E203C1" w14:textId="3C8F4A8A" w:rsidR="00086A6A" w:rsidRDefault="00D0788C" w:rsidP="00086A6A">
      <w:pPr>
        <w:rPr>
          <w:b/>
          <w:bCs/>
          <w:sz w:val="26"/>
          <w:szCs w:val="26"/>
        </w:rPr>
      </w:pPr>
      <w:r>
        <w:rPr>
          <w:rFonts w:hint="cs"/>
          <w:b/>
          <w:bCs/>
          <w:sz w:val="26"/>
          <w:szCs w:val="26"/>
          <w:rtl/>
        </w:rPr>
        <w:t>מנורה מבטחים</w:t>
      </w:r>
      <w:r w:rsidR="00BC07A0">
        <w:rPr>
          <w:rFonts w:hint="cs"/>
          <w:b/>
          <w:bCs/>
          <w:sz w:val="26"/>
          <w:szCs w:val="26"/>
          <w:rtl/>
        </w:rPr>
        <w:t xml:space="preserve"> חברה לביטוח בע"מ</w:t>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p>
    <w:p w14:paraId="381BE790" w14:textId="73C79B3A" w:rsidR="00D3318F" w:rsidRPr="00BC07A0" w:rsidRDefault="00D3318F" w:rsidP="00D3318F">
      <w:pPr>
        <w:pStyle w:val="a8"/>
        <w:spacing w:after="120" w:line="360" w:lineRule="auto"/>
        <w:ind w:left="510" w:hanging="510"/>
        <w:rPr>
          <w:rFonts w:ascii="David" w:hAnsi="David"/>
          <w:sz w:val="24"/>
          <w:rtl/>
        </w:rPr>
      </w:pPr>
      <w:r w:rsidRPr="0014009E">
        <w:rPr>
          <w:rFonts w:ascii="David" w:hAnsi="David"/>
          <w:sz w:val="24"/>
          <w:rtl/>
        </w:rPr>
        <w:t xml:space="preserve">בדוא"ל: </w:t>
      </w:r>
      <w:r w:rsidR="00D0788C">
        <w:rPr>
          <w:b/>
          <w:bCs/>
          <w:sz w:val="24"/>
          <w:u w:val="single"/>
        </w:rPr>
        <w:t>vaadot@menoramivt.co.il</w:t>
      </w:r>
    </w:p>
    <w:p w14:paraId="218F5901" w14:textId="1820B677" w:rsidR="00D3318F" w:rsidRDefault="00086A6A" w:rsidP="00D3318F">
      <w:pPr>
        <w:pStyle w:val="a8"/>
        <w:spacing w:after="120" w:line="360" w:lineRule="auto"/>
        <w:ind w:left="510" w:hanging="510"/>
        <w:rPr>
          <w:rtl/>
        </w:rPr>
      </w:pPr>
      <w:r>
        <w:rPr>
          <w:rFonts w:hint="cs"/>
          <w:rtl/>
        </w:rPr>
        <w:t>ח.</w:t>
      </w:r>
      <w:r w:rsidR="00D3318F">
        <w:rPr>
          <w:rFonts w:hint="cs"/>
          <w:rtl/>
        </w:rPr>
        <w:t>נ.,</w:t>
      </w:r>
      <w:r>
        <w:rPr>
          <w:rFonts w:hint="cs"/>
          <w:rtl/>
        </w:rPr>
        <w:t xml:space="preserve"> שלום רב,</w:t>
      </w:r>
    </w:p>
    <w:p w14:paraId="6EBF83B6" w14:textId="1EC54FC6"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442CD0F5" w14:textId="0A7602D1" w:rsidR="00D3318F" w:rsidRPr="00C0214F" w:rsidRDefault="00D3318F"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70351C">
        <w:rPr>
          <w:rFonts w:ascii="David" w:hAnsi="David" w:hint="cs"/>
          <w:b/>
          <w:bCs/>
          <w:sz w:val="28"/>
          <w:szCs w:val="28"/>
          <w:rtl/>
        </w:rPr>
        <w:t xml:space="preserve">  </w:t>
      </w:r>
      <w:r>
        <w:rPr>
          <w:rFonts w:ascii="David" w:hAnsi="David"/>
          <w:b/>
          <w:bCs/>
          <w:sz w:val="28"/>
          <w:szCs w:val="28"/>
          <w:rtl/>
        </w:rPr>
        <w:tab/>
      </w:r>
      <w:r w:rsidR="0070351C">
        <w:rPr>
          <w:rFonts w:ascii="David" w:hAnsi="David"/>
          <w:b/>
          <w:bCs/>
          <w:sz w:val="28"/>
          <w:szCs w:val="28"/>
          <w:rtl/>
        </w:rPr>
        <w:tab/>
      </w:r>
      <w:r w:rsidR="0070351C">
        <w:rPr>
          <w:rFonts w:ascii="David" w:hAnsi="David" w:hint="cs"/>
          <w:b/>
          <w:bCs/>
          <w:sz w:val="28"/>
          <w:szCs w:val="28"/>
          <w:rtl/>
        </w:rPr>
        <w:t>אובדן כושר עבודה</w:t>
      </w:r>
    </w:p>
    <w:p w14:paraId="517FD53A" w14:textId="59292BE4" w:rsidR="00086A6A" w:rsidRDefault="00086A6A" w:rsidP="00B92567">
      <w:pPr>
        <w:pStyle w:val="a8"/>
        <w:spacing w:line="240" w:lineRule="auto"/>
        <w:rPr>
          <w:rFonts w:ascii="David" w:hAnsi="David"/>
          <w:b/>
          <w:bCs/>
          <w:sz w:val="28"/>
          <w:szCs w:val="28"/>
          <w:u w:val="single"/>
          <w:rtl/>
        </w:rPr>
      </w:pPr>
      <w:r w:rsidRPr="0029161C">
        <w:rPr>
          <w:b/>
          <w:bCs/>
          <w:sz w:val="28"/>
          <w:szCs w:val="28"/>
          <w:rtl/>
        </w:rPr>
        <w:tab/>
      </w:r>
      <w:r w:rsidRPr="0029161C">
        <w:rPr>
          <w:b/>
          <w:bCs/>
          <w:sz w:val="28"/>
          <w:szCs w:val="28"/>
          <w:rtl/>
        </w:rPr>
        <w:tab/>
      </w:r>
      <w:r w:rsidRPr="0029161C">
        <w:rPr>
          <w:b/>
          <w:bCs/>
          <w:sz w:val="28"/>
          <w:szCs w:val="28"/>
          <w:rtl/>
        </w:rPr>
        <w:tab/>
      </w:r>
      <w:r w:rsidRPr="0029161C">
        <w:rPr>
          <w:b/>
          <w:bCs/>
          <w:sz w:val="28"/>
          <w:szCs w:val="28"/>
          <w:rtl/>
        </w:rPr>
        <w:tab/>
      </w:r>
      <w:r w:rsidR="0070351C" w:rsidRPr="0029161C">
        <w:rPr>
          <w:rFonts w:hint="cs"/>
          <w:b/>
          <w:bCs/>
          <w:sz w:val="28"/>
          <w:szCs w:val="28"/>
          <w:rtl/>
        </w:rPr>
        <w:t>הנדון:</w:t>
      </w:r>
      <w:r w:rsidR="0070351C">
        <w:rPr>
          <w:rFonts w:hint="cs"/>
          <w:b/>
          <w:bCs/>
          <w:sz w:val="28"/>
          <w:szCs w:val="28"/>
          <w:rtl/>
        </w:rPr>
        <w:t xml:space="preserve"> </w:t>
      </w:r>
      <w:bookmarkStart w:id="0" w:name="OLE_LINK1"/>
      <w:r w:rsidR="0070351C">
        <w:rPr>
          <w:rFonts w:ascii="David" w:hAnsi="David" w:hint="cs"/>
          <w:b/>
          <w:bCs/>
          <w:sz w:val="28"/>
          <w:szCs w:val="28"/>
          <w:u w:val="single"/>
          <w:rtl/>
        </w:rPr>
        <w:t>עידו מטיס</w:t>
      </w:r>
      <w:r w:rsidRPr="00086A6A">
        <w:rPr>
          <w:rFonts w:ascii="David" w:hAnsi="David" w:hint="cs"/>
          <w:b/>
          <w:bCs/>
          <w:sz w:val="28"/>
          <w:szCs w:val="28"/>
          <w:u w:val="single"/>
          <w:rtl/>
        </w:rPr>
        <w:t xml:space="preserve">, ת.ז. </w:t>
      </w:r>
      <w:r w:rsidR="0070351C">
        <w:rPr>
          <w:rFonts w:ascii="David" w:hAnsi="David" w:hint="cs"/>
          <w:b/>
          <w:bCs/>
          <w:sz w:val="28"/>
          <w:szCs w:val="28"/>
          <w:u w:val="single"/>
          <w:rtl/>
        </w:rPr>
        <w:t>32400681</w:t>
      </w:r>
    </w:p>
    <w:p w14:paraId="278EC840" w14:textId="30147C73" w:rsidR="0070351C" w:rsidRDefault="0070351C" w:rsidP="00B92567">
      <w:pPr>
        <w:pStyle w:val="a8"/>
        <w:spacing w:line="240" w:lineRule="auto"/>
        <w:rPr>
          <w:rFonts w:hint="cs"/>
          <w:b/>
          <w:bCs/>
          <w:sz w:val="28"/>
          <w:szCs w:val="28"/>
          <w:rtl/>
        </w:rPr>
      </w:pP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00D0788C">
        <w:rPr>
          <w:rFonts w:ascii="David" w:hAnsi="David" w:hint="cs"/>
          <w:b/>
          <w:bCs/>
          <w:sz w:val="28"/>
          <w:szCs w:val="28"/>
          <w:rtl/>
        </w:rPr>
        <w:t>השגה/ערעור על החלטת רופא הקרן</w:t>
      </w:r>
    </w:p>
    <w:p w14:paraId="223E7A0E" w14:textId="43784519" w:rsidR="00A53991" w:rsidRPr="0070351C" w:rsidRDefault="00A53991" w:rsidP="00B92567">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Pr>
          <w:b/>
          <w:bCs/>
          <w:sz w:val="28"/>
          <w:szCs w:val="28"/>
          <w:rtl/>
        </w:rPr>
        <w:tab/>
      </w:r>
      <w:r>
        <w:rPr>
          <w:rFonts w:hint="cs"/>
          <w:b/>
          <w:bCs/>
          <w:sz w:val="28"/>
          <w:szCs w:val="28"/>
          <w:rtl/>
        </w:rPr>
        <w:t xml:space="preserve">מס' תביעה: </w:t>
      </w:r>
      <w:r w:rsidR="00D0788C">
        <w:rPr>
          <w:rFonts w:hint="cs"/>
          <w:b/>
          <w:bCs/>
          <w:sz w:val="28"/>
          <w:szCs w:val="28"/>
          <w:rtl/>
        </w:rPr>
        <w:t>1079303</w:t>
      </w:r>
    </w:p>
    <w:bookmarkEnd w:id="0"/>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5E697D72" w14:textId="4C52EDE9" w:rsidR="00BC07A0" w:rsidRDefault="00A53991" w:rsidP="00BC07A0">
      <w:pPr>
        <w:ind w:left="746" w:hanging="900"/>
        <w:rPr>
          <w:sz w:val="26"/>
          <w:szCs w:val="26"/>
          <w:rtl/>
        </w:rPr>
      </w:pPr>
      <w:r>
        <w:rPr>
          <w:rFonts w:hint="cs"/>
          <w:sz w:val="26"/>
          <w:szCs w:val="26"/>
          <w:rtl/>
        </w:rPr>
        <w:t xml:space="preserve">הריני מאשר קבלת מכתבכם מיום </w:t>
      </w:r>
      <w:r w:rsidR="00D0788C">
        <w:rPr>
          <w:rFonts w:hint="cs"/>
          <w:sz w:val="26"/>
          <w:szCs w:val="26"/>
          <w:rtl/>
        </w:rPr>
        <w:t>13.2.24</w:t>
      </w:r>
      <w:r>
        <w:rPr>
          <w:rFonts w:hint="cs"/>
          <w:sz w:val="26"/>
          <w:szCs w:val="26"/>
          <w:rtl/>
        </w:rPr>
        <w:t xml:space="preserve"> והנני מתכבד </w:t>
      </w:r>
      <w:r w:rsidR="00D0788C">
        <w:rPr>
          <w:rFonts w:hint="cs"/>
          <w:sz w:val="26"/>
          <w:szCs w:val="26"/>
          <w:rtl/>
        </w:rPr>
        <w:t>לפנות בהשגה</w:t>
      </w:r>
      <w:r>
        <w:rPr>
          <w:rFonts w:hint="cs"/>
          <w:sz w:val="26"/>
          <w:szCs w:val="26"/>
          <w:rtl/>
        </w:rPr>
        <w:t xml:space="preserve"> כדלקמן:</w:t>
      </w:r>
    </w:p>
    <w:p w14:paraId="2C7DFC6C" w14:textId="58BED5FF" w:rsidR="00BC07A0" w:rsidRDefault="00FA0441" w:rsidP="00F94F42">
      <w:pPr>
        <w:numPr>
          <w:ilvl w:val="0"/>
          <w:numId w:val="2"/>
        </w:numPr>
        <w:tabs>
          <w:tab w:val="clear" w:pos="1440"/>
          <w:tab w:val="num" w:pos="746"/>
        </w:tabs>
        <w:spacing w:after="0"/>
        <w:ind w:left="746" w:right="0" w:hanging="900"/>
        <w:rPr>
          <w:sz w:val="26"/>
          <w:szCs w:val="26"/>
        </w:rPr>
      </w:pPr>
      <w:r>
        <w:rPr>
          <w:rFonts w:hint="cs"/>
          <w:sz w:val="26"/>
          <w:szCs w:val="26"/>
          <w:rtl/>
        </w:rPr>
        <w:t>כבר בפתח הדברים יצויין כי החלטתכם לא מביאה בחשבון את מלוא התיעוד ויכול וכאן טמון הטעם להחלטה מושא ערעור זה</w:t>
      </w:r>
      <w:r w:rsidR="00072ABF">
        <w:rPr>
          <w:rFonts w:hint="cs"/>
          <w:sz w:val="26"/>
          <w:szCs w:val="26"/>
          <w:rtl/>
        </w:rPr>
        <w:t xml:space="preserve"> וכי בשגגה ניתנה החלטתכם.</w:t>
      </w:r>
    </w:p>
    <w:p w14:paraId="594B58C3" w14:textId="6BA7A7B4" w:rsidR="00FA0441" w:rsidRDefault="00FA0441" w:rsidP="00F94F42">
      <w:pPr>
        <w:numPr>
          <w:ilvl w:val="0"/>
          <w:numId w:val="2"/>
        </w:numPr>
        <w:tabs>
          <w:tab w:val="clear" w:pos="1440"/>
          <w:tab w:val="num" w:pos="746"/>
        </w:tabs>
        <w:spacing w:after="0"/>
        <w:ind w:left="746" w:right="0" w:hanging="900"/>
        <w:rPr>
          <w:sz w:val="26"/>
          <w:szCs w:val="26"/>
        </w:rPr>
      </w:pPr>
      <w:r>
        <w:rPr>
          <w:rFonts w:hint="cs"/>
          <w:sz w:val="26"/>
          <w:szCs w:val="26"/>
          <w:rtl/>
        </w:rPr>
        <w:t>החלטתכם מציינת את התיעוד הרפואי עובר לתאונה, ובין היתר, מכאן ניתן ללמוד כי החלטתכם בטעות יסודה ויש לקבל את הערעור והכל כפי שיפורט כדלקמן:</w:t>
      </w:r>
    </w:p>
    <w:p w14:paraId="4D109273" w14:textId="58B5579E" w:rsidR="00FA0441" w:rsidRDefault="00212427" w:rsidP="00F94F42">
      <w:pPr>
        <w:numPr>
          <w:ilvl w:val="0"/>
          <w:numId w:val="2"/>
        </w:numPr>
        <w:tabs>
          <w:tab w:val="clear" w:pos="1440"/>
          <w:tab w:val="num" w:pos="746"/>
        </w:tabs>
        <w:spacing w:after="0"/>
        <w:ind w:left="746" w:right="0" w:hanging="900"/>
        <w:rPr>
          <w:sz w:val="26"/>
          <w:szCs w:val="26"/>
        </w:rPr>
      </w:pPr>
      <w:r>
        <w:rPr>
          <w:rFonts w:hint="cs"/>
          <w:sz w:val="26"/>
          <w:szCs w:val="26"/>
          <w:rtl/>
        </w:rPr>
        <w:t>כעניין שבעובדה, מרשי, אשר עובר לתאונה עבד בתפקידי הנהלה בכירים ביותר לא סבל ממגבלה בתחום האורתופדי והיעדר תיעוד רפואי ענייני לפחות 3 שנים עובר לתאונה מהווה עדות מכרעת לכך.</w:t>
      </w:r>
    </w:p>
    <w:p w14:paraId="577C67BD" w14:textId="2C2486D5" w:rsidR="00212427" w:rsidRDefault="00212427" w:rsidP="00F94F42">
      <w:pPr>
        <w:numPr>
          <w:ilvl w:val="0"/>
          <w:numId w:val="2"/>
        </w:numPr>
        <w:tabs>
          <w:tab w:val="clear" w:pos="1440"/>
          <w:tab w:val="num" w:pos="746"/>
        </w:tabs>
        <w:spacing w:after="0"/>
        <w:ind w:left="746" w:right="0" w:hanging="900"/>
        <w:rPr>
          <w:sz w:val="26"/>
          <w:szCs w:val="26"/>
        </w:rPr>
      </w:pPr>
      <w:r>
        <w:rPr>
          <w:rFonts w:hint="cs"/>
          <w:sz w:val="26"/>
          <w:szCs w:val="26"/>
          <w:rtl/>
        </w:rPr>
        <w:t>אילו היה סובל ממגבלות אורתופדיות עובר לתאונה לא היה מצליח לבצע את עבודתו התובענית הכרוכה באחריות רבה כפי שביצע עובר לתאונה דנן. פריצת דיסק לומברית ללא הגבלה בתנועות אינה מקנה נכות כידוע ולא בכדי.</w:t>
      </w:r>
    </w:p>
    <w:p w14:paraId="740FB341" w14:textId="26AB6A66" w:rsidR="00212427" w:rsidRDefault="00212427"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ככל והיה סובל מנכות עובר לתאונה ודאי שהדבר היה מוצא מקום בתיעוד הרפואי שנאסף על ידכם ולא בכדי מסמך שכזה לא נמצא על ידכם </w:t>
      </w:r>
      <w:r>
        <w:rPr>
          <w:sz w:val="26"/>
          <w:szCs w:val="26"/>
          <w:rtl/>
        </w:rPr>
        <w:t>–</w:t>
      </w:r>
      <w:r>
        <w:rPr>
          <w:rFonts w:hint="cs"/>
          <w:sz w:val="26"/>
          <w:szCs w:val="26"/>
          <w:rtl/>
        </w:rPr>
        <w:t xml:space="preserve"> מן הטעם שעובר לתאונה לא סבל ממגבלה שכזאת! (יודגש כי הפסיקה השלטת, הן בבתי הדין לעבודה והן בבית המשפט העליון להלכה שאין להביא בחשבון תלונות ללא ממצאים </w:t>
      </w:r>
      <w:r>
        <w:rPr>
          <w:sz w:val="26"/>
          <w:szCs w:val="26"/>
          <w:rtl/>
        </w:rPr>
        <w:t>–</w:t>
      </w:r>
      <w:r>
        <w:rPr>
          <w:rFonts w:hint="cs"/>
          <w:sz w:val="26"/>
          <w:szCs w:val="26"/>
          <w:rtl/>
        </w:rPr>
        <w:t xml:space="preserve"> ראה הלכת מרגוליס).</w:t>
      </w:r>
    </w:p>
    <w:p w14:paraId="1F51CDA0" w14:textId="5082AD93" w:rsidR="00212427" w:rsidRDefault="00212427" w:rsidP="00F94F42">
      <w:pPr>
        <w:numPr>
          <w:ilvl w:val="0"/>
          <w:numId w:val="2"/>
        </w:numPr>
        <w:tabs>
          <w:tab w:val="clear" w:pos="1440"/>
          <w:tab w:val="num" w:pos="746"/>
        </w:tabs>
        <w:spacing w:after="0"/>
        <w:ind w:left="746" w:right="0" w:hanging="900"/>
        <w:rPr>
          <w:sz w:val="26"/>
          <w:szCs w:val="26"/>
        </w:rPr>
      </w:pPr>
      <w:r>
        <w:rPr>
          <w:rFonts w:hint="cs"/>
          <w:sz w:val="26"/>
          <w:szCs w:val="26"/>
          <w:rtl/>
        </w:rPr>
        <w:t>הקביעה לפיה מצבו הקודם שאינו מקנה נכות גם לשיטתכם הוחמר כתוצאה מאירוע מאוחר שמקנה נכות אין לה ביסוס לא משפטי ולא רפואי.</w:t>
      </w:r>
    </w:p>
    <w:p w14:paraId="6A99CA3E" w14:textId="691E73F0" w:rsidR="00212427" w:rsidRDefault="00212427" w:rsidP="00F94F42">
      <w:pPr>
        <w:numPr>
          <w:ilvl w:val="0"/>
          <w:numId w:val="2"/>
        </w:numPr>
        <w:tabs>
          <w:tab w:val="clear" w:pos="1440"/>
          <w:tab w:val="num" w:pos="746"/>
        </w:tabs>
        <w:spacing w:after="0"/>
        <w:ind w:left="746" w:right="0" w:hanging="900"/>
        <w:rPr>
          <w:sz w:val="26"/>
          <w:szCs w:val="26"/>
        </w:rPr>
      </w:pPr>
      <w:r>
        <w:rPr>
          <w:rFonts w:hint="cs"/>
          <w:sz w:val="26"/>
          <w:szCs w:val="26"/>
          <w:rtl/>
        </w:rPr>
        <w:t>בניגוד להחלטתכם שמתעלמת מהתיעוד הרפואי ומקביעות הרופאים המטפלים כתוצאה מהתאונה והשבר בחוליה סובל התובע מכאבים עזים והגבלה בתנועות בעטיין נעדר הוא כושר עבודה.</w:t>
      </w:r>
    </w:p>
    <w:p w14:paraId="117B92B6" w14:textId="52DC47D4" w:rsidR="00212427" w:rsidRDefault="00205665"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 כן יצויין כי החלטתכם לפיה מחודש ינואר 2024 אין אובדן כושר עבודה הינה שרירותית ומתעלמת מהספרות הרפואית ותיאורי מקרה לפיהם החלמה משבר בנסיבות שכאלה אורכת זמן רב מזה שנקבע על ידכם.</w:t>
      </w:r>
    </w:p>
    <w:p w14:paraId="36A29A81" w14:textId="4CEFC738" w:rsidR="00072ABF" w:rsidRDefault="00072ABF" w:rsidP="00F94F42">
      <w:pPr>
        <w:numPr>
          <w:ilvl w:val="0"/>
          <w:numId w:val="2"/>
        </w:numPr>
        <w:tabs>
          <w:tab w:val="clear" w:pos="1440"/>
          <w:tab w:val="num" w:pos="746"/>
        </w:tabs>
        <w:spacing w:after="0"/>
        <w:ind w:left="746" w:right="0" w:hanging="900"/>
        <w:rPr>
          <w:sz w:val="26"/>
          <w:szCs w:val="26"/>
        </w:rPr>
      </w:pPr>
      <w:r>
        <w:rPr>
          <w:rFonts w:hint="cs"/>
          <w:sz w:val="26"/>
          <w:szCs w:val="26"/>
          <w:rtl/>
        </w:rPr>
        <w:lastRenderedPageBreak/>
        <w:t>עוד יצויין כי ככל וכתוצאה מהתאונה התפתחה תסמונת כאב זהו מצב מזכה ונגרם כתוצאה מהתאונה והדבר מהווה טעם נוסף לקבלת הערעור.</w:t>
      </w:r>
    </w:p>
    <w:p w14:paraId="41EDEB77" w14:textId="77AC461D" w:rsidR="00205665" w:rsidRDefault="00205665" w:rsidP="00205665">
      <w:pPr>
        <w:spacing w:after="0"/>
        <w:ind w:left="746" w:right="1440"/>
        <w:rPr>
          <w:sz w:val="26"/>
          <w:szCs w:val="26"/>
          <w:rtl/>
        </w:rPr>
      </w:pPr>
    </w:p>
    <w:p w14:paraId="65121FFC" w14:textId="5C2B9ADC" w:rsidR="00205665" w:rsidRDefault="00205665" w:rsidP="00205665">
      <w:pPr>
        <w:spacing w:after="0"/>
        <w:ind w:left="746" w:right="1440"/>
        <w:rPr>
          <w:sz w:val="26"/>
          <w:szCs w:val="26"/>
          <w:rtl/>
        </w:rPr>
      </w:pPr>
      <w:r>
        <w:rPr>
          <w:rFonts w:hint="cs"/>
          <w:sz w:val="26"/>
          <w:szCs w:val="26"/>
          <w:rtl/>
        </w:rPr>
        <w:t>רצ"ב לעיונכם העתק התיעוד הרפואי.</w:t>
      </w:r>
    </w:p>
    <w:p w14:paraId="4196E9E7" w14:textId="77777777" w:rsidR="00205665" w:rsidRDefault="00205665" w:rsidP="00205665">
      <w:pPr>
        <w:spacing w:after="0"/>
        <w:ind w:left="746" w:right="1440"/>
        <w:rPr>
          <w:sz w:val="26"/>
          <w:szCs w:val="26"/>
        </w:rPr>
      </w:pPr>
    </w:p>
    <w:p w14:paraId="057BB6B9" w14:textId="55736667" w:rsidR="00A53991" w:rsidRDefault="00205665"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לאור האמור לעיל, בשים לב לאמור, לממצאים האובייקטיביים ולקביעות הרופאים המטפלים אבקשכם לדון באמור </w:t>
      </w:r>
      <w:r w:rsidR="00072ABF">
        <w:rPr>
          <w:rFonts w:hint="cs"/>
          <w:sz w:val="26"/>
          <w:szCs w:val="26"/>
          <w:rtl/>
        </w:rPr>
        <w:t>לקבל את הערעור ולשלם תגמולי ביטוח בהתאם להחלטה מנומקת המתייחסת לאמור דלעיל ולתיעוד המצ"ב.</w:t>
      </w:r>
    </w:p>
    <w:p w14:paraId="5B5DB71F" w14:textId="77777777" w:rsidR="00205665" w:rsidRDefault="00205665" w:rsidP="00205665">
      <w:pPr>
        <w:spacing w:after="0"/>
        <w:ind w:left="746" w:right="1440"/>
        <w:rPr>
          <w:sz w:val="26"/>
          <w:szCs w:val="26"/>
        </w:rPr>
      </w:pPr>
    </w:p>
    <w:p w14:paraId="6C2C058A" w14:textId="17AC61CD" w:rsidR="00A53991" w:rsidRDefault="00205665" w:rsidP="00F94F42">
      <w:pPr>
        <w:numPr>
          <w:ilvl w:val="0"/>
          <w:numId w:val="2"/>
        </w:numPr>
        <w:tabs>
          <w:tab w:val="clear" w:pos="1440"/>
          <w:tab w:val="num" w:pos="746"/>
        </w:tabs>
        <w:spacing w:after="0"/>
        <w:ind w:left="746" w:right="0" w:hanging="900"/>
        <w:rPr>
          <w:sz w:val="26"/>
          <w:szCs w:val="26"/>
        </w:rPr>
      </w:pPr>
      <w:r>
        <w:rPr>
          <w:rFonts w:hint="cs"/>
          <w:sz w:val="26"/>
          <w:szCs w:val="26"/>
          <w:rtl/>
        </w:rPr>
        <w:t>לעיונכם וטיפולכם המסור אודה.</w:t>
      </w:r>
    </w:p>
    <w:p w14:paraId="16F5ACC1" w14:textId="77777777" w:rsidR="00BC07A0" w:rsidRDefault="00BC07A0" w:rsidP="00BC07A0">
      <w:pPr>
        <w:tabs>
          <w:tab w:val="left" w:pos="3165"/>
        </w:tabs>
        <w:ind w:left="746" w:right="1440"/>
        <w:rPr>
          <w:sz w:val="26"/>
          <w:szCs w:val="26"/>
          <w:rtl/>
        </w:rPr>
      </w:pPr>
      <w:r>
        <w:rPr>
          <w:sz w:val="26"/>
          <w:szCs w:val="26"/>
        </w:rPr>
        <w:tab/>
      </w:r>
      <w:r>
        <w:rPr>
          <w:sz w:val="26"/>
          <w:szCs w:val="26"/>
        </w:rPr>
        <w:tab/>
      </w:r>
      <w:r>
        <w:rPr>
          <w:sz w:val="26"/>
          <w:szCs w:val="26"/>
        </w:rPr>
        <w:tab/>
      </w:r>
    </w:p>
    <w:p w14:paraId="013B9581" w14:textId="4BB3AAC9" w:rsidR="00086A6A" w:rsidRDefault="00086A6A" w:rsidP="00086A6A">
      <w:pPr>
        <w:ind w:right="1440"/>
        <w:rPr>
          <w:sz w:val="26"/>
          <w:szCs w:val="26"/>
        </w:rPr>
      </w:pPr>
    </w:p>
    <w:p w14:paraId="65E318DA" w14:textId="2558829D" w:rsidR="00086A6A" w:rsidRPr="00FC0F0E" w:rsidRDefault="00086A6A" w:rsidP="00086A6A">
      <w:pPr>
        <w:spacing w:line="240" w:lineRule="auto"/>
        <w:ind w:left="825"/>
        <w:rPr>
          <w:b/>
          <w:bCs/>
          <w:sz w:val="26"/>
          <w:szCs w:val="26"/>
          <w:rtl/>
        </w:rPr>
      </w:pPr>
      <w:r>
        <w:rPr>
          <w:rFonts w:hint="cs"/>
          <w:sz w:val="26"/>
          <w:szCs w:val="26"/>
          <w:rtl/>
        </w:rPr>
        <w:tab/>
        <w:t xml:space="preserve">                                                                           </w:t>
      </w:r>
      <w:r w:rsidRPr="00FC0F0E">
        <w:rPr>
          <w:rFonts w:hint="cs"/>
          <w:b/>
          <w:bCs/>
          <w:sz w:val="26"/>
          <w:szCs w:val="26"/>
          <w:rtl/>
        </w:rPr>
        <w:t>בכבוד רב ובב"ח,</w:t>
      </w:r>
    </w:p>
    <w:p w14:paraId="511B48B3" w14:textId="46ABC041" w:rsidR="00086A6A" w:rsidRPr="00457426" w:rsidRDefault="00086A6A" w:rsidP="00086A6A">
      <w:pPr>
        <w:spacing w:line="240" w:lineRule="auto"/>
        <w:rPr>
          <w:b/>
          <w:bCs/>
          <w:sz w:val="26"/>
          <w:szCs w:val="26"/>
          <w:rtl/>
        </w:rPr>
      </w:pPr>
      <w:r>
        <w:rPr>
          <w:rFonts w:hint="cs"/>
          <w:b/>
          <w:bCs/>
          <w:noProof/>
          <w:sz w:val="26"/>
          <w:szCs w:val="26"/>
          <w:rtl/>
          <w:lang w:val="he-IL"/>
        </w:rPr>
        <mc:AlternateContent>
          <mc:Choice Requires="wpi">
            <w:drawing>
              <wp:anchor distT="0" distB="0" distL="114300" distR="114300" simplePos="0" relativeHeight="251661312" behindDoc="0" locked="0" layoutInCell="1" allowOverlap="1" wp14:anchorId="5E75FA68" wp14:editId="33CB8BD3">
                <wp:simplePos x="0" y="0"/>
                <wp:positionH relativeFrom="column">
                  <wp:posOffset>-263525</wp:posOffset>
                </wp:positionH>
                <wp:positionV relativeFrom="paragraph">
                  <wp:posOffset>-51435</wp:posOffset>
                </wp:positionV>
                <wp:extent cx="2075815" cy="381635"/>
                <wp:effectExtent l="50800" t="48895" r="54610" b="45720"/>
                <wp:wrapNone/>
                <wp:docPr id="1986578368"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2C8CEE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22.15pt;margin-top:-5.45pt;width:166.25pt;height:3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OutTg7hAAAA&#10;CgEAAA8AAABkcnMvZG93bnJldi54bWxMj8FOwzAMhu9IvENkJC5oSxYKy0rTCSFxgMMkyrSz12Rt&#10;oUmqJtu6t8ec4GbLn35/f7GeXM9Odoxd8BoWcwHM+jqYzjcatp+vMwUsJvQG++CthouNsC6vrwrM&#10;TTj7D3uqUsMoxMccNbQpDTnnsW6twzgPg/V0O4TRYaJ1bLgZ8UzhrudSiEfusPP0ocXBvrS2/q6O&#10;ToPcfUmz3WW4Wd1Vy3eh3gS/DFrf3kzPT8CSndIfDL/6pA4lOe3D0ZvIeg2zLLsnlIaFWAEjQiol&#10;ge01PGQKeFnw/xXK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PzUe9xgEAANIDAAAOAAAAAAAAAAAAAAAAADwCAABkcnMvZTJvRG9jLnhtbFBLAQItABQA&#10;BgAIAAAAIQDYGnCBdwYAACUUAAAQAAAAAAAAAAAAAAAAAC4EAABkcnMvaW5rL2luazEueG1sUEsB&#10;Ai0AFAAGAAgAAAAhAOutTg7hAAAACgEAAA8AAAAAAAAAAAAAAAAA0woAAGRycy9kb3ducmV2Lnht&#10;bFBLAQItABQABgAIAAAAIQB5GLydvwAAACEBAAAZAAAAAAAAAAAAAAAAAOELAABkcnMvX3JlbHMv&#10;ZTJvRG9jLnhtbC5yZWxzUEsFBgAAAAAGAAYAeAEAANcMAAAAAA==&#10;">
                <v:imagedata r:id="rId8" o:title=""/>
                <o:lock v:ext="edit" rotation="t" verticies="t" shapetype="t"/>
              </v:shape>
            </w:pict>
          </mc:Fallback>
        </mc:AlternateContent>
      </w: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9"/>
      <w:headerReference w:type="first" r:id="rId10"/>
      <w:footerReference w:type="first" r:id="rId11"/>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7E72047E"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D0788C">
            <w:rPr>
              <w:noProof/>
              <w:rtl/>
            </w:rPr>
            <w:t>‏20 מרץ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CB7FBE"/>
    <w:multiLevelType w:val="hybridMultilevel"/>
    <w:tmpl w:val="ABE29DE6"/>
    <w:lvl w:ilvl="0" w:tplc="9BAEEB70">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47128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72ABF"/>
    <w:rsid w:val="000839D4"/>
    <w:rsid w:val="00086A6A"/>
    <w:rsid w:val="000D361D"/>
    <w:rsid w:val="001706D2"/>
    <w:rsid w:val="00203BE6"/>
    <w:rsid w:val="00205665"/>
    <w:rsid w:val="00212427"/>
    <w:rsid w:val="002D6487"/>
    <w:rsid w:val="00374799"/>
    <w:rsid w:val="003C1D03"/>
    <w:rsid w:val="00433384"/>
    <w:rsid w:val="004C519A"/>
    <w:rsid w:val="004F0284"/>
    <w:rsid w:val="00563888"/>
    <w:rsid w:val="005D14AB"/>
    <w:rsid w:val="00614FD3"/>
    <w:rsid w:val="00702F6A"/>
    <w:rsid w:val="0070351C"/>
    <w:rsid w:val="00771850"/>
    <w:rsid w:val="00841B46"/>
    <w:rsid w:val="0092119D"/>
    <w:rsid w:val="00A03ECC"/>
    <w:rsid w:val="00A53991"/>
    <w:rsid w:val="00AA05AE"/>
    <w:rsid w:val="00AA1FB1"/>
    <w:rsid w:val="00AB238B"/>
    <w:rsid w:val="00AD632B"/>
    <w:rsid w:val="00AE6EA3"/>
    <w:rsid w:val="00B5070C"/>
    <w:rsid w:val="00B92567"/>
    <w:rsid w:val="00BC07A0"/>
    <w:rsid w:val="00C04650"/>
    <w:rsid w:val="00D0788C"/>
    <w:rsid w:val="00D3318F"/>
    <w:rsid w:val="00DB7B66"/>
    <w:rsid w:val="00E11AA7"/>
    <w:rsid w:val="00E54B14"/>
    <w:rsid w:val="00E63F05"/>
    <w:rsid w:val="00EA4AFE"/>
    <w:rsid w:val="00F22795"/>
    <w:rsid w:val="00F30D79"/>
    <w:rsid w:val="00F31DB8"/>
    <w:rsid w:val="00F94F42"/>
    <w:rsid w:val="00FA0441"/>
    <w:rsid w:val="00FC5D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376</Words>
  <Characters>1884</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2023-11-14T14:48:00Z</cp:lastPrinted>
  <dcterms:created xsi:type="dcterms:W3CDTF">2024-03-20T09:24:00Z</dcterms:created>
  <dcterms:modified xsi:type="dcterms:W3CDTF">2024-03-20T10:10:00Z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1015098</vt:lpwstr>
  </property>
</Properties>
</file>