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664B3" w14:textId="7CAE3BD2" w:rsidR="005C6D23" w:rsidRPr="008F2304" w:rsidRDefault="00AD6499"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Pr>
          <w:rFonts w:cs="David" w:hint="cs"/>
          <w:b/>
          <w:bCs/>
          <w:rtl/>
        </w:rPr>
        <w:t>ב</w:t>
      </w:r>
      <w:r w:rsidR="005C6D23" w:rsidRPr="008F2304">
        <w:rPr>
          <w:rFonts w:cs="David" w:hint="cs"/>
          <w:b/>
          <w:bCs/>
          <w:rtl/>
        </w:rPr>
        <w:t xml:space="preserve">בית משפט </w:t>
      </w:r>
      <w:r>
        <w:rPr>
          <w:rFonts w:cs="David" w:hint="cs"/>
          <w:b/>
          <w:bCs/>
          <w:rtl/>
        </w:rPr>
        <w:t>המחוזי</w:t>
      </w:r>
      <w:r w:rsidR="005C6D23" w:rsidRPr="008F2304">
        <w:rPr>
          <w:rFonts w:cs="David" w:hint="cs"/>
          <w:b/>
          <w:bCs/>
          <w:rtl/>
        </w:rPr>
        <w:t xml:space="preserve"> </w:t>
      </w:r>
      <w:r w:rsidR="004D62E5">
        <w:rPr>
          <w:rFonts w:cs="David" w:hint="cs"/>
          <w:b/>
          <w:bCs/>
          <w:rtl/>
        </w:rPr>
        <w:tab/>
      </w:r>
      <w:r w:rsidR="004D62E5">
        <w:rPr>
          <w:rFonts w:cs="David" w:hint="cs"/>
          <w:b/>
          <w:bCs/>
          <w:rtl/>
        </w:rPr>
        <w:tab/>
      </w:r>
      <w:r w:rsidR="004D62E5">
        <w:rPr>
          <w:rFonts w:cs="David" w:hint="cs"/>
          <w:b/>
          <w:bCs/>
          <w:rtl/>
        </w:rPr>
        <w:tab/>
      </w:r>
      <w:r w:rsidR="004D62E5">
        <w:rPr>
          <w:rFonts w:cs="David" w:hint="cs"/>
          <w:b/>
          <w:bCs/>
          <w:rtl/>
        </w:rPr>
        <w:tab/>
        <w:t>ע"</w:t>
      </w:r>
      <w:r>
        <w:rPr>
          <w:rFonts w:cs="David" w:hint="cs"/>
          <w:b/>
          <w:bCs/>
          <w:rtl/>
        </w:rPr>
        <w:t>ו 18143-07-23</w:t>
      </w:r>
    </w:p>
    <w:p w14:paraId="7E0DFDB8" w14:textId="1BC988AF" w:rsidR="004B658F" w:rsidRDefault="00AD6499" w:rsidP="000A5E1C">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hint="cs"/>
          <w:b/>
          <w:bCs/>
          <w:u w:val="single"/>
          <w:rtl/>
        </w:rPr>
        <w:t>בירושלים</w:t>
      </w:r>
      <w:r>
        <w:rPr>
          <w:rFonts w:cs="David"/>
          <w:b/>
          <w:bCs/>
          <w:rtl/>
        </w:rPr>
        <w:tab/>
      </w:r>
      <w:r w:rsidR="004B658F">
        <w:rPr>
          <w:rFonts w:cs="David"/>
          <w:b/>
          <w:bCs/>
          <w:rtl/>
        </w:rPr>
        <w:tab/>
      </w:r>
      <w:r w:rsidR="004B658F">
        <w:rPr>
          <w:rFonts w:cs="David"/>
          <w:b/>
          <w:bCs/>
          <w:rtl/>
        </w:rPr>
        <w:tab/>
      </w:r>
      <w:r w:rsidR="004B658F">
        <w:rPr>
          <w:rFonts w:cs="David"/>
          <w:b/>
          <w:bCs/>
          <w:rtl/>
        </w:rPr>
        <w:tab/>
      </w:r>
      <w:r w:rsidR="004B658F">
        <w:rPr>
          <w:rFonts w:cs="David"/>
          <w:b/>
          <w:bCs/>
          <w:rtl/>
        </w:rPr>
        <w:tab/>
      </w:r>
      <w:r w:rsidR="004B658F">
        <w:rPr>
          <w:rFonts w:cs="David" w:hint="cs"/>
          <w:b/>
          <w:bCs/>
          <w:rtl/>
        </w:rPr>
        <w:t>בפני השופטים הנכבדים: כב' השופט עודד שחם,</w:t>
      </w:r>
    </w:p>
    <w:p w14:paraId="15C3DC46" w14:textId="68F1A5E5" w:rsidR="008F2304" w:rsidRPr="004B658F" w:rsidRDefault="004B658F" w:rsidP="004B658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u w:val="single"/>
          <w:rtl/>
        </w:rPr>
      </w:pPr>
      <w:r>
        <w:rPr>
          <w:rFonts w:cs="David"/>
          <w:b/>
          <w:bCs/>
          <w:rtl/>
        </w:rPr>
        <w:tab/>
      </w:r>
      <w:r>
        <w:rPr>
          <w:rFonts w:cs="David"/>
          <w:b/>
          <w:bCs/>
          <w:rtl/>
        </w:rPr>
        <w:tab/>
      </w:r>
      <w:r>
        <w:rPr>
          <w:rFonts w:cs="David"/>
          <w:b/>
          <w:bCs/>
          <w:rtl/>
        </w:rPr>
        <w:tab/>
      </w:r>
      <w:r>
        <w:rPr>
          <w:rFonts w:cs="David"/>
          <w:b/>
          <w:bCs/>
          <w:rtl/>
        </w:rPr>
        <w:tab/>
      </w:r>
      <w:r>
        <w:rPr>
          <w:rFonts w:cs="David"/>
          <w:b/>
          <w:bCs/>
          <w:rtl/>
        </w:rPr>
        <w:tab/>
      </w:r>
      <w:r>
        <w:rPr>
          <w:rFonts w:cs="David"/>
          <w:b/>
          <w:bCs/>
          <w:rtl/>
        </w:rPr>
        <w:tab/>
      </w:r>
      <w:r w:rsidRPr="004B658F">
        <w:rPr>
          <w:rFonts w:cs="David" w:hint="cs"/>
          <w:b/>
          <w:bCs/>
          <w:u w:val="single"/>
          <w:rtl/>
        </w:rPr>
        <w:t xml:space="preserve">כב' השופט אברהם רובין וכב' השופט נמרוד </w:t>
      </w:r>
      <w:proofErr w:type="spellStart"/>
      <w:r w:rsidRPr="004B658F">
        <w:rPr>
          <w:rFonts w:cs="David" w:hint="cs"/>
          <w:b/>
          <w:bCs/>
          <w:u w:val="single"/>
          <w:rtl/>
        </w:rPr>
        <w:t>פלקס</w:t>
      </w:r>
      <w:proofErr w:type="spellEnd"/>
    </w:p>
    <w:p w14:paraId="0838F33C" w14:textId="77777777" w:rsidR="00AD6499" w:rsidRPr="004B658F" w:rsidRDefault="00AD6499" w:rsidP="008F2304">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sz w:val="22"/>
          <w:szCs w:val="22"/>
          <w:rtl/>
        </w:rPr>
      </w:pPr>
      <w:r w:rsidRPr="004B658F">
        <w:rPr>
          <w:rFonts w:cs="David" w:hint="cs"/>
          <w:sz w:val="22"/>
          <w:szCs w:val="22"/>
          <w:rtl/>
        </w:rPr>
        <w:t>מועד אחרון להגשה: 14.9.23</w:t>
      </w:r>
    </w:p>
    <w:p w14:paraId="15E61A36" w14:textId="305B0DC0" w:rsidR="00F12CE0" w:rsidRDefault="00AD6499" w:rsidP="00AD6499">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sidRPr="004B658F">
        <w:rPr>
          <w:rFonts w:cs="David" w:hint="cs"/>
          <w:sz w:val="22"/>
          <w:szCs w:val="22"/>
          <w:rtl/>
        </w:rPr>
        <w:t xml:space="preserve">נחתם ונערך ביום </w:t>
      </w:r>
      <w:r w:rsidR="004B658F" w:rsidRPr="004B658F">
        <w:rPr>
          <w:rFonts w:cs="David" w:hint="cs"/>
          <w:sz w:val="22"/>
          <w:szCs w:val="22"/>
          <w:rtl/>
        </w:rPr>
        <w:t>11.9.23</w:t>
      </w:r>
      <w:r w:rsidR="00F12CE0" w:rsidRPr="004B658F">
        <w:rPr>
          <w:rFonts w:cs="David" w:hint="cs"/>
          <w:sz w:val="26"/>
          <w:szCs w:val="26"/>
          <w:rtl/>
        </w:rPr>
        <w:tab/>
      </w:r>
      <w:r w:rsidR="00F12CE0" w:rsidRPr="008F2304">
        <w:rPr>
          <w:rFonts w:cs="David" w:hint="cs"/>
          <w:rtl/>
        </w:rPr>
        <w:tab/>
      </w:r>
    </w:p>
    <w:p w14:paraId="0CD8B431" w14:textId="47AA1249" w:rsidR="00AD6499" w:rsidRDefault="00AD6499" w:rsidP="004B658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sz w:val="26"/>
          <w:szCs w:val="26"/>
          <w:rtl/>
        </w:rPr>
      </w:pPr>
      <w:r w:rsidRPr="00C96F1F">
        <w:rPr>
          <w:rFonts w:cs="David" w:hint="cs"/>
          <w:b/>
          <w:bCs/>
          <w:sz w:val="26"/>
          <w:szCs w:val="26"/>
          <w:u w:val="single"/>
          <w:rtl/>
        </w:rPr>
        <w:t>המערער</w:t>
      </w:r>
      <w:r w:rsidRPr="00C96F1F">
        <w:rPr>
          <w:rFonts w:cs="David" w:hint="cs"/>
          <w:b/>
          <w:bCs/>
          <w:rtl/>
        </w:rPr>
        <w:t>:</w:t>
      </w:r>
      <w:r w:rsidRPr="00C96F1F">
        <w:rPr>
          <w:rFonts w:cs="David" w:hint="cs"/>
          <w:b/>
          <w:bCs/>
          <w:rtl/>
        </w:rPr>
        <w:tab/>
      </w:r>
      <w:r w:rsidRPr="00C96F1F">
        <w:rPr>
          <w:rFonts w:cs="David" w:hint="cs"/>
          <w:b/>
          <w:bCs/>
          <w:rtl/>
        </w:rPr>
        <w:tab/>
      </w:r>
      <w:r w:rsidRPr="00C96F1F">
        <w:rPr>
          <w:rFonts w:cs="David" w:hint="cs"/>
          <w:b/>
          <w:bCs/>
          <w:sz w:val="26"/>
          <w:szCs w:val="26"/>
          <w:rtl/>
        </w:rPr>
        <w:t xml:space="preserve">משרד הביטחון - קצין התגמולים </w:t>
      </w:r>
      <w:r>
        <w:rPr>
          <w:rFonts w:cs="David" w:hint="cs"/>
          <w:b/>
          <w:bCs/>
          <w:sz w:val="26"/>
          <w:szCs w:val="26"/>
          <w:rtl/>
        </w:rPr>
        <w:tab/>
      </w:r>
    </w:p>
    <w:p w14:paraId="7085659C" w14:textId="77777777" w:rsidR="00AD6499" w:rsidRDefault="00AD6499" w:rsidP="004B658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sz w:val="26"/>
          <w:szCs w:val="26"/>
          <w:rtl/>
        </w:rPr>
      </w:pPr>
      <w:r>
        <w:rPr>
          <w:rFonts w:cs="David" w:hint="cs"/>
          <w:b/>
          <w:bCs/>
          <w:sz w:val="26"/>
          <w:szCs w:val="26"/>
          <w:rtl/>
        </w:rPr>
        <w:tab/>
      </w:r>
      <w:r>
        <w:rPr>
          <w:rFonts w:cs="David" w:hint="cs"/>
          <w:b/>
          <w:bCs/>
          <w:sz w:val="26"/>
          <w:szCs w:val="26"/>
          <w:rtl/>
        </w:rPr>
        <w:tab/>
      </w:r>
      <w:r>
        <w:rPr>
          <w:rFonts w:cs="David" w:hint="cs"/>
          <w:b/>
          <w:bCs/>
          <w:sz w:val="26"/>
          <w:szCs w:val="26"/>
          <w:rtl/>
        </w:rPr>
        <w:tab/>
      </w:r>
      <w:r>
        <w:rPr>
          <w:rFonts w:cs="David" w:hint="cs"/>
          <w:sz w:val="26"/>
          <w:szCs w:val="26"/>
          <w:rtl/>
        </w:rPr>
        <w:t>ע"י ב"כ מפרקליטות מחוז ירושלים (אזרחי)</w:t>
      </w:r>
    </w:p>
    <w:p w14:paraId="4897F926" w14:textId="77777777" w:rsidR="00AD6499" w:rsidRDefault="00AD6499" w:rsidP="004B658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רח' מח"ל 7, ת.ד. 49333, ירושלים 91493</w:t>
      </w:r>
    </w:p>
    <w:p w14:paraId="093DFACE" w14:textId="3E533804" w:rsidR="00AD6499" w:rsidRDefault="00AD6499" w:rsidP="004B658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284"/>
        <w:jc w:val="both"/>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 xml:space="preserve">טל': </w:t>
      </w:r>
      <w:r w:rsidR="00900978">
        <w:rPr>
          <w:rFonts w:cs="David" w:hint="cs"/>
          <w:sz w:val="26"/>
          <w:szCs w:val="26"/>
          <w:rtl/>
        </w:rPr>
        <w:t>073-3920000</w:t>
      </w:r>
      <w:r>
        <w:rPr>
          <w:rFonts w:cs="David"/>
          <w:sz w:val="26"/>
          <w:szCs w:val="26"/>
        </w:rPr>
        <w:t>;</w:t>
      </w:r>
      <w:r>
        <w:rPr>
          <w:rFonts w:cs="David" w:hint="cs"/>
          <w:sz w:val="26"/>
          <w:szCs w:val="26"/>
          <w:rtl/>
        </w:rPr>
        <w:t xml:space="preserve"> פקס: </w:t>
      </w:r>
      <w:r w:rsidR="00900978">
        <w:rPr>
          <w:rFonts w:cs="David" w:hint="cs"/>
          <w:sz w:val="26"/>
          <w:szCs w:val="26"/>
          <w:rtl/>
        </w:rPr>
        <w:t>02-6468053</w:t>
      </w:r>
    </w:p>
    <w:p w14:paraId="0F74D997" w14:textId="77777777" w:rsidR="00B60ABF" w:rsidRDefault="00B60ABF" w:rsidP="00B60AB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284"/>
        <w:jc w:val="both"/>
        <w:rPr>
          <w:rFonts w:cs="David"/>
          <w:sz w:val="26"/>
          <w:szCs w:val="26"/>
          <w:rtl/>
        </w:rPr>
      </w:pPr>
    </w:p>
    <w:p w14:paraId="2E22BF99" w14:textId="42EDD2E0" w:rsidR="00F12CE0" w:rsidRDefault="005C6D23" w:rsidP="00B60AB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284"/>
        <w:rPr>
          <w:rFonts w:cs="David"/>
          <w:b/>
          <w:bCs/>
          <w:rtl/>
        </w:rPr>
      </w:pPr>
      <w:r w:rsidRPr="008F2304">
        <w:rPr>
          <w:rFonts w:ascii="QDavid" w:cs="David" w:hint="cs"/>
          <w:b/>
          <w:bCs/>
          <w:rtl/>
        </w:rPr>
        <w:tab/>
      </w:r>
      <w:r w:rsidRPr="008F2304">
        <w:rPr>
          <w:rFonts w:ascii="QDavid" w:cs="David" w:hint="cs"/>
          <w:b/>
          <w:bCs/>
          <w:rtl/>
        </w:rPr>
        <w:tab/>
      </w:r>
      <w:r w:rsidRPr="008F2304">
        <w:rPr>
          <w:rFonts w:ascii="QDavid" w:cs="David" w:hint="cs"/>
          <w:b/>
          <w:bCs/>
          <w:rtl/>
        </w:rPr>
        <w:tab/>
      </w:r>
      <w:r w:rsidRPr="008F2304">
        <w:rPr>
          <w:rFonts w:ascii="QDavid" w:cs="David" w:hint="cs"/>
          <w:b/>
          <w:bCs/>
          <w:rtl/>
        </w:rPr>
        <w:tab/>
      </w:r>
      <w:r w:rsidR="00F12CE0" w:rsidRPr="008F2304">
        <w:rPr>
          <w:rFonts w:ascii="QDavid" w:cs="David" w:hint="cs"/>
          <w:b/>
          <w:bCs/>
          <w:rtl/>
        </w:rPr>
        <w:t xml:space="preserve">-  </w:t>
      </w:r>
      <w:r w:rsidR="00F12CE0" w:rsidRPr="008F2304">
        <w:rPr>
          <w:rFonts w:cs="David" w:hint="cs"/>
          <w:b/>
          <w:bCs/>
          <w:rtl/>
        </w:rPr>
        <w:t xml:space="preserve"> </w:t>
      </w:r>
      <w:r w:rsidR="00F12CE0" w:rsidRPr="008F2304">
        <w:rPr>
          <w:rFonts w:cs="David"/>
          <w:b/>
          <w:bCs/>
          <w:rtl/>
        </w:rPr>
        <w:t>נ</w:t>
      </w:r>
      <w:r w:rsidR="00F12CE0" w:rsidRPr="008F2304">
        <w:rPr>
          <w:rFonts w:cs="David" w:hint="cs"/>
          <w:b/>
          <w:bCs/>
          <w:rtl/>
        </w:rPr>
        <w:t xml:space="preserve"> </w:t>
      </w:r>
      <w:r w:rsidR="00F12CE0" w:rsidRPr="008F2304">
        <w:rPr>
          <w:rFonts w:cs="David"/>
          <w:b/>
          <w:bCs/>
          <w:rtl/>
        </w:rPr>
        <w:t xml:space="preserve"> ג</w:t>
      </w:r>
      <w:r w:rsidR="00F12CE0" w:rsidRPr="008F2304">
        <w:rPr>
          <w:rFonts w:cs="David" w:hint="cs"/>
          <w:b/>
          <w:bCs/>
          <w:rtl/>
        </w:rPr>
        <w:t xml:space="preserve"> </w:t>
      </w:r>
      <w:r w:rsidR="00F12CE0" w:rsidRPr="008F2304">
        <w:rPr>
          <w:rFonts w:cs="David"/>
          <w:b/>
          <w:bCs/>
          <w:rtl/>
        </w:rPr>
        <w:t xml:space="preserve"> ד</w:t>
      </w:r>
      <w:r w:rsidR="00F12CE0" w:rsidRPr="008F2304">
        <w:rPr>
          <w:rFonts w:cs="David" w:hint="cs"/>
          <w:b/>
          <w:bCs/>
          <w:rtl/>
        </w:rPr>
        <w:t xml:space="preserve">  -</w:t>
      </w:r>
    </w:p>
    <w:p w14:paraId="04012C0E" w14:textId="77777777" w:rsidR="00B60ABF" w:rsidRDefault="00B60ABF" w:rsidP="00C96F1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284"/>
        <w:rPr>
          <w:rFonts w:cs="David"/>
          <w:rtl/>
        </w:rPr>
      </w:pPr>
    </w:p>
    <w:p w14:paraId="6304E570" w14:textId="6A4661AA" w:rsidR="00AD6499" w:rsidRDefault="00AD6499" w:rsidP="00B4463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sz w:val="26"/>
          <w:szCs w:val="26"/>
          <w:rtl/>
        </w:rPr>
      </w:pPr>
      <w:r w:rsidRPr="000A5E1C">
        <w:rPr>
          <w:rFonts w:cs="David" w:hint="cs"/>
          <w:b/>
          <w:bCs/>
          <w:sz w:val="26"/>
          <w:szCs w:val="26"/>
          <w:u w:val="single"/>
          <w:rtl/>
        </w:rPr>
        <w:t>המשיב</w:t>
      </w:r>
      <w:r>
        <w:rPr>
          <w:rFonts w:cs="David" w:hint="cs"/>
          <w:b/>
          <w:bCs/>
          <w:rtl/>
        </w:rPr>
        <w:t>:</w:t>
      </w:r>
      <w:r w:rsidRPr="008F2304">
        <w:rPr>
          <w:rFonts w:cs="David"/>
        </w:rPr>
        <w:tab/>
      </w:r>
      <w:r w:rsidRPr="008F2304">
        <w:rPr>
          <w:rFonts w:cs="David" w:hint="cs"/>
          <w:rtl/>
        </w:rPr>
        <w:tab/>
      </w:r>
      <w:r w:rsidRPr="008F2304">
        <w:rPr>
          <w:rFonts w:cs="David" w:hint="cs"/>
          <w:b/>
          <w:bCs/>
          <w:sz w:val="26"/>
          <w:szCs w:val="26"/>
          <w:rtl/>
        </w:rPr>
        <w:t xml:space="preserve">דורון </w:t>
      </w:r>
      <w:proofErr w:type="spellStart"/>
      <w:r w:rsidRPr="008F2304">
        <w:rPr>
          <w:rFonts w:cs="David" w:hint="cs"/>
          <w:b/>
          <w:bCs/>
          <w:sz w:val="26"/>
          <w:szCs w:val="26"/>
          <w:rtl/>
        </w:rPr>
        <w:t>טלמור</w:t>
      </w:r>
      <w:proofErr w:type="spellEnd"/>
      <w:r w:rsidRPr="008F2304">
        <w:rPr>
          <w:rFonts w:cs="David" w:hint="cs"/>
          <w:b/>
          <w:bCs/>
          <w:sz w:val="26"/>
          <w:szCs w:val="26"/>
          <w:rtl/>
        </w:rPr>
        <w:t>, ת.ז. 028638526</w:t>
      </w:r>
      <w:r w:rsidRPr="008F2304">
        <w:rPr>
          <w:rFonts w:cs="David" w:hint="cs"/>
          <w:sz w:val="26"/>
          <w:szCs w:val="26"/>
          <w:rtl/>
        </w:rPr>
        <w:t xml:space="preserve"> </w:t>
      </w:r>
      <w:r w:rsidRPr="008F2304">
        <w:rPr>
          <w:rFonts w:cs="David"/>
          <w:sz w:val="26"/>
          <w:szCs w:val="26"/>
          <w:rtl/>
        </w:rPr>
        <w:t xml:space="preserve"> </w:t>
      </w:r>
    </w:p>
    <w:p w14:paraId="4DE2E283" w14:textId="71128ECA" w:rsidR="00AD6499" w:rsidRPr="00C96F1F" w:rsidRDefault="00AD6499" w:rsidP="00C96F1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sz w:val="26"/>
          <w:szCs w:val="26"/>
        </w:rPr>
      </w:pPr>
      <w:r>
        <w:rPr>
          <w:rFonts w:cs="David"/>
          <w:b/>
          <w:bCs/>
          <w:sz w:val="26"/>
          <w:szCs w:val="26"/>
        </w:rPr>
        <w:tab/>
      </w:r>
      <w:r w:rsidRPr="000178BF">
        <w:rPr>
          <w:rFonts w:cs="David"/>
          <w:sz w:val="26"/>
          <w:szCs w:val="26"/>
        </w:rPr>
        <w:tab/>
      </w:r>
      <w:r w:rsidRPr="000178BF">
        <w:rPr>
          <w:rFonts w:cs="David"/>
          <w:sz w:val="26"/>
          <w:szCs w:val="26"/>
        </w:rPr>
        <w:tab/>
      </w:r>
      <w:r w:rsidRPr="00C96F1F">
        <w:rPr>
          <w:rFonts w:cs="David"/>
          <w:sz w:val="26"/>
          <w:szCs w:val="26"/>
          <w:rtl/>
        </w:rPr>
        <w:t xml:space="preserve">באמצעות </w:t>
      </w:r>
      <w:r w:rsidRPr="00C96F1F">
        <w:rPr>
          <w:rFonts w:cs="David" w:hint="cs"/>
          <w:sz w:val="26"/>
          <w:szCs w:val="26"/>
          <w:rtl/>
        </w:rPr>
        <w:t xml:space="preserve">ב"כ </w:t>
      </w:r>
      <w:r w:rsidRPr="00C96F1F">
        <w:rPr>
          <w:rFonts w:cs="David"/>
          <w:sz w:val="26"/>
          <w:szCs w:val="26"/>
          <w:rtl/>
        </w:rPr>
        <w:t>עו</w:t>
      </w:r>
      <w:r w:rsidRPr="00C96F1F">
        <w:rPr>
          <w:rFonts w:cs="David" w:hint="cs"/>
          <w:sz w:val="26"/>
          <w:szCs w:val="26"/>
          <w:rtl/>
        </w:rPr>
        <w:t>ה</w:t>
      </w:r>
      <w:r w:rsidRPr="00C96F1F">
        <w:rPr>
          <w:rFonts w:cs="David"/>
          <w:sz w:val="26"/>
          <w:szCs w:val="26"/>
          <w:rtl/>
        </w:rPr>
        <w:t xml:space="preserve">"ד </w:t>
      </w:r>
      <w:r w:rsidRPr="00C96F1F">
        <w:rPr>
          <w:rFonts w:cs="David" w:hint="cs"/>
          <w:sz w:val="26"/>
          <w:szCs w:val="26"/>
          <w:rtl/>
        </w:rPr>
        <w:t>אריאל פרייברג ו/או ניצן בן צבי</w:t>
      </w:r>
    </w:p>
    <w:p w14:paraId="141899DA" w14:textId="77777777" w:rsidR="00AD6499" w:rsidRPr="00C96F1F" w:rsidRDefault="00AD6499" w:rsidP="00C96F1F">
      <w:pPr>
        <w:ind w:left="934" w:firstLine="506"/>
        <w:rPr>
          <w:sz w:val="26"/>
          <w:szCs w:val="26"/>
          <w:rtl/>
        </w:rPr>
      </w:pPr>
      <w:r w:rsidRPr="00C96F1F">
        <w:rPr>
          <w:sz w:val="26"/>
          <w:szCs w:val="26"/>
        </w:rPr>
        <w:tab/>
      </w:r>
      <w:r w:rsidRPr="00C96F1F">
        <w:rPr>
          <w:rFonts w:hint="cs"/>
          <w:sz w:val="26"/>
          <w:szCs w:val="26"/>
          <w:rtl/>
        </w:rPr>
        <w:t>מרחוב אבא הלל 7, רמת גן</w:t>
      </w:r>
    </w:p>
    <w:p w14:paraId="0ED30702" w14:textId="77777777" w:rsidR="00AD6499" w:rsidRPr="00C96F1F" w:rsidRDefault="00AD6499" w:rsidP="00C96F1F">
      <w:pPr>
        <w:ind w:left="934"/>
        <w:rPr>
          <w:sz w:val="26"/>
          <w:szCs w:val="26"/>
          <w:rtl/>
        </w:rPr>
      </w:pPr>
      <w:r w:rsidRPr="00C96F1F">
        <w:rPr>
          <w:rFonts w:hint="cs"/>
          <w:sz w:val="26"/>
          <w:szCs w:val="26"/>
          <w:rtl/>
        </w:rPr>
        <w:tab/>
      </w:r>
      <w:r w:rsidRPr="00C96F1F">
        <w:rPr>
          <w:rFonts w:hint="cs"/>
          <w:sz w:val="26"/>
          <w:szCs w:val="26"/>
          <w:rtl/>
        </w:rPr>
        <w:tab/>
        <w:t>טל':  7412358 - 03, פקס:  077-3180983</w:t>
      </w:r>
    </w:p>
    <w:p w14:paraId="061D20D6" w14:textId="77777777" w:rsidR="00F12CE0" w:rsidRPr="008F2304" w:rsidRDefault="00F12CE0" w:rsidP="000F100D">
      <w:pPr>
        <w:jc w:val="both"/>
        <w:rPr>
          <w:rtl/>
        </w:rPr>
      </w:pPr>
    </w:p>
    <w:p w14:paraId="26815376" w14:textId="558EE47F" w:rsidR="00B9646F" w:rsidRPr="00C96F1F" w:rsidRDefault="00AD6499" w:rsidP="00C96F1F">
      <w:pPr>
        <w:spacing w:line="360" w:lineRule="auto"/>
        <w:ind w:left="1440" w:right="-567" w:firstLine="720"/>
        <w:rPr>
          <w:b/>
          <w:bCs/>
          <w:sz w:val="34"/>
          <w:szCs w:val="34"/>
          <w:u w:val="single"/>
          <w:rtl/>
        </w:rPr>
      </w:pPr>
      <w:r w:rsidRPr="00C96F1F">
        <w:rPr>
          <w:rFonts w:hint="cs"/>
          <w:b/>
          <w:bCs/>
          <w:sz w:val="34"/>
          <w:szCs w:val="34"/>
          <w:u w:val="single"/>
          <w:rtl/>
        </w:rPr>
        <w:t>תשובת המשיב לערעור</w:t>
      </w:r>
    </w:p>
    <w:p w14:paraId="1EBF55C2" w14:textId="74CF524E" w:rsidR="00DB456E" w:rsidRPr="000A5E1C" w:rsidRDefault="00AD6499" w:rsidP="00C96F1F">
      <w:pPr>
        <w:spacing w:line="360" w:lineRule="auto"/>
        <w:jc w:val="both"/>
        <w:rPr>
          <w:rtl/>
        </w:rPr>
      </w:pPr>
      <w:r w:rsidRPr="000A5E1C">
        <w:rPr>
          <w:rFonts w:hint="cs"/>
          <w:rtl/>
        </w:rPr>
        <w:t>בזיקה להחלטת בית המשפט הנכבד מיום 23.8.23 מתכבד המשיב להשיב כדלקמן:</w:t>
      </w:r>
    </w:p>
    <w:p w14:paraId="7D6DD61D" w14:textId="7015BD40" w:rsidR="005D6966" w:rsidRPr="000A5E1C" w:rsidRDefault="005D6966" w:rsidP="005F1ADD">
      <w:pPr>
        <w:pStyle w:val="a6"/>
        <w:numPr>
          <w:ilvl w:val="0"/>
          <w:numId w:val="15"/>
        </w:numPr>
        <w:spacing w:before="240" w:after="240" w:line="360" w:lineRule="auto"/>
        <w:ind w:left="283" w:hanging="425"/>
        <w:jc w:val="both"/>
      </w:pPr>
      <w:r w:rsidRPr="000A5E1C">
        <w:rPr>
          <w:rFonts w:hint="cs"/>
          <w:rtl/>
        </w:rPr>
        <w:t>בפתח הדברים ובטרם ישיב לגופן של טענות, נוכח ציון הדברים בהודעת הערעור, יבקש המשיב להציג בפני בית המשפט הנכבד את התמונה המלאה, או, לכל הפחות, להציג את העובדות אותן השמיט המערער.</w:t>
      </w:r>
    </w:p>
    <w:p w14:paraId="1C7D8EBF" w14:textId="78465DD0" w:rsidR="005D6966" w:rsidRPr="000A5E1C" w:rsidRDefault="005D6966" w:rsidP="005F1ADD">
      <w:pPr>
        <w:pStyle w:val="a6"/>
        <w:numPr>
          <w:ilvl w:val="0"/>
          <w:numId w:val="15"/>
        </w:numPr>
        <w:spacing w:before="240" w:after="240" w:line="360" w:lineRule="auto"/>
        <w:ind w:left="283" w:hanging="425"/>
        <w:jc w:val="both"/>
      </w:pPr>
      <w:r w:rsidRPr="000A5E1C">
        <w:rPr>
          <w:rFonts w:hint="cs"/>
          <w:rtl/>
        </w:rPr>
        <w:t xml:space="preserve">לאורכם של ההליכים בעניינו של המשיב התנהל המערער בדרך שאינה הולמת את מהותו </w:t>
      </w:r>
      <w:r w:rsidR="000C1406">
        <w:rPr>
          <w:rFonts w:hint="cs"/>
          <w:rtl/>
        </w:rPr>
        <w:t xml:space="preserve">הסוציאלית </w:t>
      </w:r>
      <w:r w:rsidRPr="000A5E1C">
        <w:rPr>
          <w:rFonts w:hint="cs"/>
          <w:rtl/>
        </w:rPr>
        <w:t>של גוף נכבד זה (קצין התגמולים) בחוסר הלימה בין התכלית שלשמה הוקם לבין הדרך בה הוא התנהל ועודנו מתנהל בעניינו של המשיב.</w:t>
      </w:r>
    </w:p>
    <w:p w14:paraId="401660A4" w14:textId="3E9E8A79" w:rsidR="005D6966" w:rsidRPr="000A5E1C" w:rsidRDefault="005D6966" w:rsidP="005F1ADD">
      <w:pPr>
        <w:pStyle w:val="a6"/>
        <w:numPr>
          <w:ilvl w:val="0"/>
          <w:numId w:val="15"/>
        </w:numPr>
        <w:spacing w:before="240" w:after="240" w:line="360" w:lineRule="auto"/>
        <w:ind w:left="283" w:hanging="425"/>
        <w:jc w:val="both"/>
      </w:pPr>
      <w:r w:rsidRPr="000A5E1C">
        <w:rPr>
          <w:rFonts w:hint="cs"/>
          <w:rtl/>
        </w:rPr>
        <w:t>על מנת שלא להלאות את בית המשפט הנכבד ועל מנת ליתן תשובה עניינית במסגרת המקום הקצוב ישיב המערער בצורה תמציתית בלבד</w:t>
      </w:r>
      <w:r w:rsidR="000709AE" w:rsidRPr="000A5E1C">
        <w:rPr>
          <w:rFonts w:hint="cs"/>
          <w:rtl/>
        </w:rPr>
        <w:t>, אך בנקודות אותן ציין המערער ונעדרות רקע ישיב המערער וישלים בקצרה את הדרוש השלמה</w:t>
      </w:r>
      <w:r w:rsidR="009C4CD9">
        <w:rPr>
          <w:rFonts w:hint="cs"/>
          <w:rtl/>
        </w:rPr>
        <w:t xml:space="preserve"> ולאחר מכן ישיב המשיב תשובתו לערעור גופא.</w:t>
      </w:r>
    </w:p>
    <w:p w14:paraId="60DE9948" w14:textId="0DED5D07" w:rsidR="000422C8" w:rsidRPr="000A5E1C" w:rsidRDefault="00900978" w:rsidP="005F1ADD">
      <w:pPr>
        <w:pStyle w:val="a6"/>
        <w:numPr>
          <w:ilvl w:val="0"/>
          <w:numId w:val="15"/>
        </w:numPr>
        <w:spacing w:before="240" w:after="240" w:line="360" w:lineRule="auto"/>
        <w:ind w:left="283" w:hanging="425"/>
        <w:jc w:val="both"/>
      </w:pPr>
      <w:r w:rsidRPr="000A5E1C">
        <w:rPr>
          <w:rFonts w:hint="cs"/>
          <w:rtl/>
        </w:rPr>
        <w:t xml:space="preserve">המערער מצא לנכון לציין בפרק "עיקרי ההחלטה שעליה מערערים" את השתלשלות האירועים ואת הקשר, החשוב יש לציין, בין החלטת הוועדה הנכבדה בהליך 40376-04-16 </w:t>
      </w:r>
      <w:r w:rsidR="00B308F4" w:rsidRPr="000A5E1C">
        <w:rPr>
          <w:rFonts w:hint="cs"/>
          <w:rtl/>
        </w:rPr>
        <w:t>(</w:t>
      </w:r>
      <w:proofErr w:type="spellStart"/>
      <w:r w:rsidR="00B308F4" w:rsidRPr="000A5E1C">
        <w:rPr>
          <w:rFonts w:hint="cs"/>
          <w:rtl/>
        </w:rPr>
        <w:t>להלן:"</w:t>
      </w:r>
      <w:r w:rsidR="00B308F4" w:rsidRPr="000A5E1C">
        <w:rPr>
          <w:rFonts w:hint="cs"/>
          <w:b/>
          <w:bCs/>
          <w:rtl/>
        </w:rPr>
        <w:t>הליך</w:t>
      </w:r>
      <w:proofErr w:type="spellEnd"/>
      <w:r w:rsidR="00B308F4" w:rsidRPr="000A5E1C">
        <w:rPr>
          <w:rFonts w:hint="cs"/>
          <w:b/>
          <w:bCs/>
          <w:rtl/>
        </w:rPr>
        <w:t xml:space="preserve"> </w:t>
      </w:r>
      <w:r w:rsidR="00B308F4" w:rsidRPr="009E1F2D">
        <w:rPr>
          <w:rFonts w:hint="cs"/>
          <w:b/>
          <w:bCs/>
          <w:rtl/>
        </w:rPr>
        <w:t>הכליות</w:t>
      </w:r>
      <w:r w:rsidR="00B308F4" w:rsidRPr="000A5E1C">
        <w:rPr>
          <w:rFonts w:hint="cs"/>
          <w:rtl/>
        </w:rPr>
        <w:t xml:space="preserve">") </w:t>
      </w:r>
      <w:r w:rsidRPr="000A5E1C">
        <w:rPr>
          <w:rFonts w:hint="cs"/>
          <w:rtl/>
        </w:rPr>
        <w:t>לבין ההליך מושא הערעור דכאן.</w:t>
      </w:r>
    </w:p>
    <w:p w14:paraId="77AEE768" w14:textId="1B755840" w:rsidR="00C57E20" w:rsidRPr="000A5E1C" w:rsidRDefault="00C57E20" w:rsidP="005F1ADD">
      <w:pPr>
        <w:pStyle w:val="a6"/>
        <w:numPr>
          <w:ilvl w:val="0"/>
          <w:numId w:val="15"/>
        </w:numPr>
        <w:spacing w:before="240" w:after="240" w:line="360" w:lineRule="auto"/>
        <w:ind w:left="283" w:hanging="425"/>
        <w:jc w:val="both"/>
      </w:pPr>
      <w:r w:rsidRPr="000A5E1C">
        <w:rPr>
          <w:rFonts w:hint="cs"/>
          <w:rtl/>
        </w:rPr>
        <w:t>המערער לא טורח לציין את התנהלותו ואת העובדה שאף לאחר שניתנה החלטת הוועדה הנכבדה</w:t>
      </w:r>
      <w:r w:rsidR="00B308F4" w:rsidRPr="000A5E1C">
        <w:rPr>
          <w:rFonts w:hint="cs"/>
          <w:rtl/>
        </w:rPr>
        <w:t xml:space="preserve"> בהליך הכליות בתאריך 6.12.2018, נוכח התעלמות המערער מהחלטות הוועדה,</w:t>
      </w:r>
      <w:r w:rsidRPr="000A5E1C">
        <w:rPr>
          <w:rFonts w:hint="cs"/>
          <w:rtl/>
        </w:rPr>
        <w:t xml:space="preserve"> נאלץ המשיב לפנות לוועדה על מנת </w:t>
      </w:r>
      <w:r w:rsidR="000C1406">
        <w:rPr>
          <w:rFonts w:hint="cs"/>
          <w:rtl/>
        </w:rPr>
        <w:t>שתורה</w:t>
      </w:r>
      <w:r w:rsidRPr="000A5E1C">
        <w:rPr>
          <w:rFonts w:hint="cs"/>
          <w:rtl/>
        </w:rPr>
        <w:t xml:space="preserve"> למערער (למשיב שם) לפעול כמצוות הוועדה הנכבדה ולפעול לבירור טענות המשיב.</w:t>
      </w:r>
    </w:p>
    <w:p w14:paraId="5BE7DBA1" w14:textId="551D6579" w:rsidR="00900978" w:rsidRPr="000A5E1C" w:rsidRDefault="000C1406" w:rsidP="005F1ADD">
      <w:pPr>
        <w:pStyle w:val="a6"/>
        <w:numPr>
          <w:ilvl w:val="0"/>
          <w:numId w:val="15"/>
        </w:numPr>
        <w:spacing w:before="240" w:after="240" w:line="360" w:lineRule="auto"/>
        <w:ind w:left="283" w:hanging="425"/>
        <w:jc w:val="both"/>
      </w:pPr>
      <w:r>
        <w:rPr>
          <w:rFonts w:hint="cs"/>
          <w:rtl/>
        </w:rPr>
        <w:t>גם לאחר</w:t>
      </w:r>
      <w:r w:rsidR="00C57E20" w:rsidRPr="000A5E1C">
        <w:rPr>
          <w:rFonts w:hint="cs"/>
          <w:rtl/>
        </w:rPr>
        <w:t xml:space="preserve"> שנבדק המשיב </w:t>
      </w:r>
      <w:r w:rsidR="009C4CD9">
        <w:rPr>
          <w:rFonts w:hint="cs"/>
          <w:rtl/>
        </w:rPr>
        <w:t xml:space="preserve">ע"י מומחה קצין התגמולים </w:t>
      </w:r>
      <w:r w:rsidR="00C57E20" w:rsidRPr="000A5E1C">
        <w:rPr>
          <w:rFonts w:hint="cs"/>
          <w:rtl/>
        </w:rPr>
        <w:t xml:space="preserve">חלף זמן רב עד שהועברה חוות הדעת </w:t>
      </w:r>
      <w:r w:rsidR="00B308F4" w:rsidRPr="000A5E1C">
        <w:rPr>
          <w:rFonts w:hint="cs"/>
          <w:rtl/>
        </w:rPr>
        <w:t xml:space="preserve">וההחלטה בעניינו (בהמשך נתן מומחה </w:t>
      </w:r>
      <w:r>
        <w:rPr>
          <w:rFonts w:hint="cs"/>
          <w:rtl/>
        </w:rPr>
        <w:t>קצין התגמולים</w:t>
      </w:r>
      <w:r w:rsidR="00B308F4" w:rsidRPr="000A5E1C">
        <w:rPr>
          <w:rFonts w:hint="cs"/>
          <w:rtl/>
        </w:rPr>
        <w:t xml:space="preserve"> חוות דעת נוספות) והמשיב נאלץ לפנות פעם נוספת לוועדה הנכבדה על מנת שתורה למערער למלא אחר החלטת הוועדה והמשיב אשר נדרש להגיש עדכונים ולא </w:t>
      </w:r>
      <w:r w:rsidR="00B308F4" w:rsidRPr="000A5E1C">
        <w:rPr>
          <w:rFonts w:hint="cs"/>
          <w:rtl/>
        </w:rPr>
        <w:lastRenderedPageBreak/>
        <w:t>עמד במועדים שנקצבו לו נתן את תגובתו לבית המשפט ופתח בכך שמשנמחק הערעור "... במצב דברים זה, הוועדה קמה מכיסאה ואין עוד מקום להיזקק לסעד כזה או אחר המבוקש על ידי המערער"</w:t>
      </w:r>
    </w:p>
    <w:p w14:paraId="287B5532" w14:textId="6640D7FA" w:rsidR="00B308F4" w:rsidRPr="000A5E1C" w:rsidRDefault="00B308F4" w:rsidP="000A5E1C">
      <w:pPr>
        <w:pStyle w:val="a6"/>
        <w:spacing w:line="360" w:lineRule="auto"/>
        <w:ind w:left="281"/>
        <w:jc w:val="both"/>
      </w:pPr>
      <w:r w:rsidRPr="000A5E1C">
        <w:rPr>
          <w:rFonts w:hint="cs"/>
          <w:rtl/>
        </w:rPr>
        <w:t xml:space="preserve">רצ"ב בקשות המשיב (כאן), תגובות המערער והחלטות הוועדה הנכבדה מסומנים </w:t>
      </w:r>
      <w:r w:rsidR="009C4CD9">
        <w:rPr>
          <w:rFonts w:hint="cs"/>
          <w:rtl/>
        </w:rPr>
        <w:t>"</w:t>
      </w:r>
      <w:r w:rsidRPr="009C4CD9">
        <w:rPr>
          <w:rFonts w:hint="cs"/>
          <w:b/>
          <w:bCs/>
          <w:rtl/>
        </w:rPr>
        <w:t xml:space="preserve">כנספח </w:t>
      </w:r>
      <w:r w:rsidR="009C4CD9" w:rsidRPr="009C4CD9">
        <w:rPr>
          <w:rFonts w:hint="cs"/>
          <w:b/>
          <w:bCs/>
          <w:rtl/>
        </w:rPr>
        <w:t>1</w:t>
      </w:r>
      <w:r w:rsidR="009C4CD9">
        <w:rPr>
          <w:rFonts w:hint="cs"/>
          <w:rtl/>
        </w:rPr>
        <w:t>".</w:t>
      </w:r>
    </w:p>
    <w:p w14:paraId="387D1688" w14:textId="33662649" w:rsidR="005D6966" w:rsidRPr="000A5E1C" w:rsidRDefault="000C1406" w:rsidP="000C1406">
      <w:pPr>
        <w:pStyle w:val="a6"/>
        <w:numPr>
          <w:ilvl w:val="0"/>
          <w:numId w:val="15"/>
        </w:numPr>
        <w:spacing w:before="240" w:after="240" w:line="360" w:lineRule="auto"/>
        <w:ind w:left="278" w:hanging="357"/>
        <w:jc w:val="both"/>
      </w:pPr>
      <w:r>
        <w:rPr>
          <w:rFonts w:hint="cs"/>
          <w:rtl/>
        </w:rPr>
        <w:t>משניתנה</w:t>
      </w:r>
      <w:r w:rsidR="00B308F4" w:rsidRPr="000A5E1C">
        <w:rPr>
          <w:rFonts w:hint="cs"/>
          <w:rtl/>
        </w:rPr>
        <w:t xml:space="preserve"> חוות דעת מומחה </w:t>
      </w:r>
      <w:r>
        <w:rPr>
          <w:rFonts w:hint="cs"/>
          <w:rtl/>
        </w:rPr>
        <w:t>קצין התגמולים</w:t>
      </w:r>
      <w:r w:rsidR="00B308F4" w:rsidRPr="000A5E1C">
        <w:rPr>
          <w:rFonts w:hint="cs"/>
          <w:rtl/>
        </w:rPr>
        <w:t>, פרופ' קיוויתי</w:t>
      </w:r>
      <w:r w:rsidR="009C4CD9">
        <w:rPr>
          <w:rFonts w:hint="cs"/>
          <w:rtl/>
        </w:rPr>
        <w:t xml:space="preserve"> (</w:t>
      </w:r>
      <w:proofErr w:type="spellStart"/>
      <w:r w:rsidR="009C4CD9">
        <w:rPr>
          <w:rFonts w:hint="cs"/>
          <w:rtl/>
        </w:rPr>
        <w:t>להלן:"</w:t>
      </w:r>
      <w:r w:rsidR="009C4CD9">
        <w:rPr>
          <w:rFonts w:hint="cs"/>
          <w:b/>
          <w:bCs/>
          <w:rtl/>
        </w:rPr>
        <w:t>מומחה</w:t>
      </w:r>
      <w:proofErr w:type="spellEnd"/>
      <w:r w:rsidR="009C4CD9">
        <w:rPr>
          <w:rFonts w:hint="cs"/>
          <w:b/>
          <w:bCs/>
          <w:rtl/>
        </w:rPr>
        <w:t xml:space="preserve"> </w:t>
      </w:r>
      <w:proofErr w:type="spellStart"/>
      <w:r w:rsidR="009C4CD9">
        <w:rPr>
          <w:rFonts w:hint="cs"/>
          <w:b/>
          <w:bCs/>
          <w:rtl/>
        </w:rPr>
        <w:t>ק"ת</w:t>
      </w:r>
      <w:proofErr w:type="spellEnd"/>
      <w:r w:rsidR="009C4CD9">
        <w:rPr>
          <w:rFonts w:hint="cs"/>
          <w:rtl/>
        </w:rPr>
        <w:t>")</w:t>
      </w:r>
      <w:r w:rsidR="00B308F4" w:rsidRPr="000A5E1C">
        <w:rPr>
          <w:rFonts w:hint="cs"/>
          <w:rtl/>
        </w:rPr>
        <w:t xml:space="preserve">, התברר כי בניגוד גמור להחלטת הוועדה בהליך הכליות, </w:t>
      </w:r>
      <w:r w:rsidR="009C4CD9">
        <w:rPr>
          <w:rFonts w:hint="cs"/>
          <w:rtl/>
        </w:rPr>
        <w:t xml:space="preserve">מומחה </w:t>
      </w:r>
      <w:proofErr w:type="spellStart"/>
      <w:r w:rsidR="009C4CD9">
        <w:rPr>
          <w:rFonts w:hint="cs"/>
          <w:rtl/>
        </w:rPr>
        <w:t>ק"ת</w:t>
      </w:r>
      <w:proofErr w:type="spellEnd"/>
      <w:r w:rsidR="009C4CD9">
        <w:rPr>
          <w:rFonts w:hint="cs"/>
          <w:rtl/>
        </w:rPr>
        <w:t xml:space="preserve"> </w:t>
      </w:r>
      <w:r w:rsidR="00B308F4" w:rsidRPr="000A5E1C">
        <w:rPr>
          <w:rFonts w:hint="cs"/>
          <w:rtl/>
        </w:rPr>
        <w:t>התעלם מההחלטה ולא בירר את אשר צווה</w:t>
      </w:r>
      <w:r w:rsidR="009C4CD9">
        <w:rPr>
          <w:rFonts w:hint="cs"/>
          <w:rtl/>
        </w:rPr>
        <w:t xml:space="preserve"> לברר</w:t>
      </w:r>
      <w:r w:rsidR="00B308F4" w:rsidRPr="000A5E1C">
        <w:rPr>
          <w:rFonts w:hint="cs"/>
          <w:rtl/>
        </w:rPr>
        <w:t xml:space="preserve"> בהחלטה. </w:t>
      </w:r>
      <w:r w:rsidR="009C4CD9">
        <w:rPr>
          <w:rFonts w:hint="cs"/>
          <w:rtl/>
        </w:rPr>
        <w:t xml:space="preserve">מומחה </w:t>
      </w:r>
      <w:proofErr w:type="spellStart"/>
      <w:r w:rsidR="009C4CD9">
        <w:rPr>
          <w:rFonts w:hint="cs"/>
          <w:rtl/>
        </w:rPr>
        <w:t>ק"ת</w:t>
      </w:r>
      <w:proofErr w:type="spellEnd"/>
      <w:r w:rsidR="009C4CD9">
        <w:rPr>
          <w:rFonts w:hint="cs"/>
          <w:rtl/>
        </w:rPr>
        <w:t xml:space="preserve"> </w:t>
      </w:r>
      <w:r>
        <w:rPr>
          <w:rFonts w:hint="cs"/>
          <w:rtl/>
        </w:rPr>
        <w:t xml:space="preserve">התעלם מתנאי השירות וההשפעה שלהן על המשיב </w:t>
      </w:r>
      <w:r>
        <w:rPr>
          <w:rtl/>
        </w:rPr>
        <w:t>–</w:t>
      </w:r>
      <w:r>
        <w:rPr>
          <w:rFonts w:hint="cs"/>
          <w:rtl/>
        </w:rPr>
        <w:t xml:space="preserve"> שירות במקום עם אוורו</w:t>
      </w:r>
      <w:r w:rsidR="009C4CD9">
        <w:rPr>
          <w:rFonts w:hint="cs"/>
          <w:rtl/>
        </w:rPr>
        <w:t>ר</w:t>
      </w:r>
      <w:r>
        <w:rPr>
          <w:rFonts w:hint="cs"/>
          <w:rtl/>
        </w:rPr>
        <w:t xml:space="preserve"> לקוי ומועט</w:t>
      </w:r>
      <w:r w:rsidR="009C4CD9">
        <w:rPr>
          <w:rFonts w:hint="cs"/>
          <w:rtl/>
        </w:rPr>
        <w:t xml:space="preserve"> ו</w:t>
      </w:r>
      <w:r>
        <w:rPr>
          <w:rFonts w:hint="cs"/>
          <w:rtl/>
        </w:rPr>
        <w:t>שירות בסביבה מקוררת בטמפרטורות נמ</w:t>
      </w:r>
      <w:r w:rsidR="003E02F3">
        <w:rPr>
          <w:rFonts w:hint="cs"/>
          <w:rtl/>
        </w:rPr>
        <w:t>ו</w:t>
      </w:r>
      <w:r>
        <w:rPr>
          <w:rFonts w:hint="cs"/>
          <w:rtl/>
        </w:rPr>
        <w:t>כו</w:t>
      </w:r>
      <w:r w:rsidR="009C4CD9">
        <w:rPr>
          <w:rFonts w:hint="cs"/>
          <w:rtl/>
        </w:rPr>
        <w:t>ת</w:t>
      </w:r>
      <w:r w:rsidR="003E02F3">
        <w:rPr>
          <w:rFonts w:hint="cs"/>
          <w:rtl/>
        </w:rPr>
        <w:t xml:space="preserve">. </w:t>
      </w:r>
      <w:r>
        <w:rPr>
          <w:rFonts w:hint="cs"/>
          <w:rtl/>
        </w:rPr>
        <w:t xml:space="preserve">חוות </w:t>
      </w:r>
      <w:r w:rsidR="009C4CD9">
        <w:rPr>
          <w:rFonts w:hint="cs"/>
          <w:rtl/>
        </w:rPr>
        <w:t xml:space="preserve">דעתו </w:t>
      </w:r>
      <w:r>
        <w:rPr>
          <w:rFonts w:hint="cs"/>
          <w:rtl/>
        </w:rPr>
        <w:t>מתעלמת בצורה בוטה מהחלטה מפורשת של הוועדה</w:t>
      </w:r>
      <w:r w:rsidR="005D6966" w:rsidRPr="000A5E1C">
        <w:rPr>
          <w:rFonts w:hint="cs"/>
          <w:rtl/>
        </w:rPr>
        <w:t xml:space="preserve">, </w:t>
      </w:r>
      <w:r w:rsidR="009C4CD9">
        <w:rPr>
          <w:rFonts w:hint="cs"/>
          <w:rtl/>
        </w:rPr>
        <w:t>התעלמות</w:t>
      </w:r>
      <w:r>
        <w:rPr>
          <w:rFonts w:hint="cs"/>
          <w:rtl/>
        </w:rPr>
        <w:t xml:space="preserve"> דוגמת זו ואי מילוי אחר החלטות אירעו כפי שיפורט להלן גם בהמשך. </w:t>
      </w:r>
    </w:p>
    <w:p w14:paraId="1122C7C4" w14:textId="3F31F16B" w:rsidR="000709AE" w:rsidRPr="000A5E1C" w:rsidRDefault="005270A8" w:rsidP="005F1ADD">
      <w:pPr>
        <w:pStyle w:val="a6"/>
        <w:numPr>
          <w:ilvl w:val="0"/>
          <w:numId w:val="15"/>
        </w:numPr>
        <w:spacing w:before="240" w:after="240" w:line="360" w:lineRule="auto"/>
        <w:ind w:left="278" w:hanging="357"/>
        <w:jc w:val="both"/>
      </w:pPr>
      <w:r w:rsidRPr="000A5E1C">
        <w:rPr>
          <w:rFonts w:hint="cs"/>
          <w:rtl/>
        </w:rPr>
        <w:t>גם לאחר שניתנה ההחלטה מושא הערעור לא טרח המערער לקיימה וברגל גסה הפר ועודנו מפר את ההחלטה (אשר חלקה חלוט כאמור).</w:t>
      </w:r>
    </w:p>
    <w:p w14:paraId="0AC585C0" w14:textId="420C116B" w:rsidR="005270A8" w:rsidRDefault="005270A8" w:rsidP="000A5E1C">
      <w:pPr>
        <w:spacing w:line="360" w:lineRule="auto"/>
        <w:ind w:left="281"/>
        <w:jc w:val="both"/>
        <w:rPr>
          <w:rtl/>
        </w:rPr>
      </w:pPr>
      <w:r w:rsidRPr="000A5E1C">
        <w:rPr>
          <w:rFonts w:hint="cs"/>
          <w:rtl/>
        </w:rPr>
        <w:t xml:space="preserve">ובמה דברים אמורים </w:t>
      </w:r>
      <w:r w:rsidRPr="000A5E1C">
        <w:rPr>
          <w:rtl/>
        </w:rPr>
        <w:t>–</w:t>
      </w:r>
      <w:r w:rsidRPr="000A5E1C">
        <w:rPr>
          <w:rFonts w:hint="cs"/>
          <w:rtl/>
        </w:rPr>
        <w:t xml:space="preserve"> משאין מחלוקת אודות הקשר הסיבתי בין שירותו של המשיב לבין ההחמרה במחלת האסטמה ממנה הוא סובל נחשב הוא לנכה צה"ל בשיעור כלשהו, תהא נכותו אשר תהא. חרף האמור, וכפי שנטען בתגובת המשיב לבקשת המערער לעיכוב ביצוע, לא טרח הוא להכיר במערער שכזה ו</w:t>
      </w:r>
      <w:r w:rsidR="00324F7C">
        <w:rPr>
          <w:rFonts w:hint="cs"/>
          <w:rtl/>
        </w:rPr>
        <w:t xml:space="preserve">המשיב הגיש </w:t>
      </w:r>
      <w:r w:rsidRPr="000A5E1C">
        <w:rPr>
          <w:rFonts w:hint="cs"/>
          <w:rtl/>
        </w:rPr>
        <w:t>לבית המשפט הנכבד קמא</w:t>
      </w:r>
      <w:r w:rsidR="00324F7C">
        <w:rPr>
          <w:rFonts w:hint="cs"/>
          <w:rtl/>
        </w:rPr>
        <w:t xml:space="preserve"> בקשה להורות למערער לפעול כמצוות ההחלטה. בית המשפט הנכבד קמא ביקש את תגובת ב"כ קצין התגמולים </w:t>
      </w:r>
      <w:r w:rsidR="00132E82">
        <w:rPr>
          <w:rFonts w:hint="cs"/>
          <w:rtl/>
        </w:rPr>
        <w:t xml:space="preserve"> אשר הוגשה בתאריך 5/9/23 וממקרא התגובה עולה תמונה ברורה של המשך התעלמות ודריסת זכויותיו של המשיב ברגל גסה.</w:t>
      </w:r>
    </w:p>
    <w:p w14:paraId="1C97B018" w14:textId="77777777" w:rsidR="00B60ABF" w:rsidRDefault="00B60ABF" w:rsidP="00324F7C">
      <w:pPr>
        <w:spacing w:line="360" w:lineRule="auto"/>
        <w:ind w:left="281"/>
        <w:jc w:val="both"/>
        <w:rPr>
          <w:rtl/>
        </w:rPr>
      </w:pPr>
    </w:p>
    <w:p w14:paraId="00AF0FEA" w14:textId="128893B8" w:rsidR="005270A8" w:rsidRPr="000A5E1C" w:rsidRDefault="005270A8" w:rsidP="00324F7C">
      <w:pPr>
        <w:spacing w:line="360" w:lineRule="auto"/>
        <w:ind w:left="281"/>
        <w:jc w:val="both"/>
        <w:rPr>
          <w:rtl/>
        </w:rPr>
      </w:pPr>
      <w:r w:rsidRPr="000A5E1C">
        <w:rPr>
          <w:rFonts w:hint="cs"/>
          <w:rtl/>
        </w:rPr>
        <w:t>רצ"ב העתק הבקשה</w:t>
      </w:r>
      <w:r w:rsidR="00132E82">
        <w:rPr>
          <w:rFonts w:hint="cs"/>
          <w:rtl/>
        </w:rPr>
        <w:t xml:space="preserve">, </w:t>
      </w:r>
      <w:r w:rsidRPr="000A5E1C">
        <w:rPr>
          <w:rFonts w:hint="cs"/>
          <w:rtl/>
        </w:rPr>
        <w:t>ההחלטה שניתנה על גביה</w:t>
      </w:r>
      <w:r w:rsidR="00324F7C">
        <w:rPr>
          <w:rFonts w:hint="cs"/>
          <w:rtl/>
        </w:rPr>
        <w:t xml:space="preserve">, </w:t>
      </w:r>
      <w:r w:rsidR="00132E82">
        <w:rPr>
          <w:rFonts w:hint="cs"/>
          <w:rtl/>
        </w:rPr>
        <w:t>תגובת המערער</w:t>
      </w:r>
      <w:r w:rsidR="00324F7C">
        <w:rPr>
          <w:rFonts w:hint="cs"/>
          <w:rtl/>
        </w:rPr>
        <w:t xml:space="preserve"> והחלטת בית המשפט קמא</w:t>
      </w:r>
      <w:r w:rsidRPr="000A5E1C">
        <w:rPr>
          <w:rFonts w:hint="cs"/>
          <w:rtl/>
        </w:rPr>
        <w:t>, מסומנים</w:t>
      </w:r>
      <w:r w:rsidR="00324F7C">
        <w:rPr>
          <w:rFonts w:hint="cs"/>
          <w:rtl/>
        </w:rPr>
        <w:t xml:space="preserve"> "</w:t>
      </w:r>
      <w:r w:rsidR="00324F7C" w:rsidRPr="00324F7C">
        <w:rPr>
          <w:rFonts w:hint="cs"/>
          <w:b/>
          <w:bCs/>
          <w:rtl/>
        </w:rPr>
        <w:t>כנספח 2</w:t>
      </w:r>
      <w:r w:rsidR="00324F7C">
        <w:rPr>
          <w:rFonts w:hint="cs"/>
          <w:rtl/>
        </w:rPr>
        <w:t>".</w:t>
      </w:r>
    </w:p>
    <w:p w14:paraId="0AA2771B" w14:textId="4617DAE4" w:rsidR="005270A8" w:rsidRDefault="005270A8" w:rsidP="000A5E1C">
      <w:pPr>
        <w:pStyle w:val="a6"/>
        <w:numPr>
          <w:ilvl w:val="0"/>
          <w:numId w:val="15"/>
        </w:numPr>
        <w:spacing w:line="360" w:lineRule="auto"/>
        <w:ind w:left="281"/>
        <w:jc w:val="both"/>
      </w:pPr>
      <w:proofErr w:type="spellStart"/>
      <w:r w:rsidRPr="000A5E1C">
        <w:rPr>
          <w:rFonts w:hint="cs"/>
          <w:rtl/>
        </w:rPr>
        <w:t>יצויין</w:t>
      </w:r>
      <w:proofErr w:type="spellEnd"/>
      <w:r w:rsidRPr="000A5E1C">
        <w:rPr>
          <w:rFonts w:hint="cs"/>
          <w:rtl/>
        </w:rPr>
        <w:t xml:space="preserve"> כי תשובת המערער כי התיק הועבר לוועדות רפואיות אינה מן העניין (וגם אינה </w:t>
      </w:r>
      <w:proofErr w:type="spellStart"/>
      <w:r w:rsidRPr="000A5E1C">
        <w:rPr>
          <w:rFonts w:hint="cs"/>
          <w:rtl/>
        </w:rPr>
        <w:t>מדוייקת</w:t>
      </w:r>
      <w:proofErr w:type="spellEnd"/>
      <w:r w:rsidRPr="000A5E1C">
        <w:rPr>
          <w:rFonts w:hint="cs"/>
          <w:rtl/>
        </w:rPr>
        <w:t>) מכיוון שהתייצבות לוועדה רפואית הינה דה פקטו הסכמה לערעור ומשאין הסכמה אין ואי אפשר לטעון כי נפל רבב בהתנהגות המשיב, ההיפך הוא הנכון, המערער טרם הכיר במשיב כנכה צה"ל בניגוד ותוך הפרת החלטה חלוטה.</w:t>
      </w:r>
    </w:p>
    <w:p w14:paraId="4458206C" w14:textId="26D7389A" w:rsidR="000709AE" w:rsidRPr="00132E82" w:rsidRDefault="000709AE" w:rsidP="00B60ABF">
      <w:pPr>
        <w:rPr>
          <w:b/>
          <w:bCs/>
          <w:u w:val="single"/>
          <w:rtl/>
        </w:rPr>
      </w:pPr>
      <w:r w:rsidRPr="00132E82">
        <w:rPr>
          <w:rFonts w:hint="cs"/>
          <w:b/>
          <w:bCs/>
          <w:u w:val="single"/>
          <w:rtl/>
        </w:rPr>
        <w:t>החלטת הוועדה הנכבדה ניתנה בסמכות</w:t>
      </w:r>
    </w:p>
    <w:p w14:paraId="67B3F836" w14:textId="3A12D957" w:rsidR="001618BD" w:rsidRPr="000A5E1C" w:rsidRDefault="000709AE" w:rsidP="00B60ABF">
      <w:pPr>
        <w:pStyle w:val="a6"/>
        <w:numPr>
          <w:ilvl w:val="0"/>
          <w:numId w:val="15"/>
        </w:numPr>
        <w:spacing w:before="240" w:after="240"/>
        <w:ind w:left="284"/>
        <w:jc w:val="both"/>
      </w:pPr>
      <w:r w:rsidRPr="000A5E1C">
        <w:rPr>
          <w:rFonts w:hint="cs"/>
          <w:rtl/>
        </w:rPr>
        <w:t>המשיב יטען כי בניגוד לטענת המערער, הוועדה הנכבדה הייתה מוסמכת לקבוע את נכותו של המשיב מן הטעמים שיפורטו להלן.</w:t>
      </w:r>
    </w:p>
    <w:p w14:paraId="36A2EECB" w14:textId="6D1BD3CD" w:rsidR="000709AE" w:rsidRPr="000A5E1C" w:rsidRDefault="002358BF" w:rsidP="005F1ADD">
      <w:pPr>
        <w:pStyle w:val="a6"/>
        <w:numPr>
          <w:ilvl w:val="0"/>
          <w:numId w:val="15"/>
        </w:numPr>
        <w:spacing w:before="240" w:after="240" w:line="360" w:lineRule="auto"/>
        <w:ind w:left="284"/>
        <w:jc w:val="both"/>
      </w:pPr>
      <w:r w:rsidRPr="000A5E1C">
        <w:rPr>
          <w:rFonts w:hint="cs"/>
          <w:rtl/>
        </w:rPr>
        <w:t xml:space="preserve">סמכויות </w:t>
      </w:r>
      <w:proofErr w:type="spellStart"/>
      <w:r w:rsidRPr="000A5E1C">
        <w:rPr>
          <w:rFonts w:hint="cs"/>
          <w:rtl/>
        </w:rPr>
        <w:t>הווועדה</w:t>
      </w:r>
      <w:proofErr w:type="spellEnd"/>
      <w:r w:rsidRPr="000A5E1C">
        <w:rPr>
          <w:rFonts w:hint="cs"/>
          <w:rtl/>
        </w:rPr>
        <w:t xml:space="preserve"> הוקנו לה בחוק הנכים (תגמולים ושיקום), תשי"ט-1959 (</w:t>
      </w:r>
      <w:proofErr w:type="spellStart"/>
      <w:r w:rsidRPr="000A5E1C">
        <w:rPr>
          <w:rFonts w:hint="cs"/>
          <w:rtl/>
        </w:rPr>
        <w:t>להלן:"</w:t>
      </w:r>
      <w:r w:rsidRPr="000A5E1C">
        <w:rPr>
          <w:rFonts w:hint="cs"/>
          <w:b/>
          <w:bCs/>
          <w:rtl/>
        </w:rPr>
        <w:t>חוק</w:t>
      </w:r>
      <w:proofErr w:type="spellEnd"/>
      <w:r w:rsidRPr="000A5E1C">
        <w:rPr>
          <w:rFonts w:hint="cs"/>
          <w:b/>
          <w:bCs/>
          <w:rtl/>
        </w:rPr>
        <w:t xml:space="preserve"> הנכים</w:t>
      </w:r>
      <w:r w:rsidRPr="000A5E1C">
        <w:rPr>
          <w:rFonts w:hint="cs"/>
          <w:rtl/>
        </w:rPr>
        <w:t>"). אם לדייק, בניגוד לנטען בסעיף 10.ב. להודעת הערעור, קובע החוק מפורשות כי ועדה רפואית תקבע את דרגת נכותו של נכה. וכי דרגות נכות ותקופות תח</w:t>
      </w:r>
      <w:r w:rsidR="00B44637">
        <w:rPr>
          <w:rFonts w:hint="cs"/>
          <w:rtl/>
        </w:rPr>
        <w:t>ו</w:t>
      </w:r>
      <w:r w:rsidRPr="000A5E1C">
        <w:rPr>
          <w:rFonts w:hint="cs"/>
          <w:rtl/>
        </w:rPr>
        <w:t>לתן ייקבעו לפי מבחנים וכ</w:t>
      </w:r>
      <w:r w:rsidR="00B44637">
        <w:rPr>
          <w:rFonts w:hint="cs"/>
          <w:rtl/>
        </w:rPr>
        <w:t>ל</w:t>
      </w:r>
      <w:r w:rsidRPr="000A5E1C">
        <w:rPr>
          <w:rFonts w:hint="cs"/>
          <w:rtl/>
        </w:rPr>
        <w:t xml:space="preserve">לים שיתקין שר הבטחון. </w:t>
      </w:r>
    </w:p>
    <w:p w14:paraId="55FDA665" w14:textId="72EAB162" w:rsidR="002358BF" w:rsidRPr="000A5E1C" w:rsidRDefault="002358BF" w:rsidP="005F1ADD">
      <w:pPr>
        <w:pStyle w:val="a6"/>
        <w:numPr>
          <w:ilvl w:val="0"/>
          <w:numId w:val="15"/>
        </w:numPr>
        <w:spacing w:before="240" w:after="240" w:line="360" w:lineRule="auto"/>
        <w:ind w:left="284"/>
        <w:jc w:val="both"/>
      </w:pPr>
      <w:r w:rsidRPr="000A5E1C">
        <w:rPr>
          <w:rFonts w:hint="cs"/>
          <w:rtl/>
        </w:rPr>
        <w:t xml:space="preserve">עיון בסעיפי החוק מלמד אותנו כי בכך רצה המחוקק להעניק סמכות לוועדה לקבוע נכות בהתאם לתקנות, המחוקק לא ביקש לשלול סמכות תוך יצירת הסדר שלילי. </w:t>
      </w:r>
      <w:r w:rsidR="00324F7C">
        <w:rPr>
          <w:rFonts w:hint="cs"/>
          <w:rtl/>
        </w:rPr>
        <w:t xml:space="preserve">יתרה מכך, </w:t>
      </w:r>
      <w:r w:rsidRPr="000A5E1C">
        <w:rPr>
          <w:rFonts w:hint="cs"/>
          <w:rtl/>
        </w:rPr>
        <w:t>המחוקק הקנה ל</w:t>
      </w:r>
      <w:r w:rsidR="00324F7C">
        <w:rPr>
          <w:rFonts w:hint="cs"/>
          <w:rtl/>
        </w:rPr>
        <w:t xml:space="preserve">בית המשפט בשבתו </w:t>
      </w:r>
      <w:proofErr w:type="spellStart"/>
      <w:r w:rsidR="00324F7C">
        <w:rPr>
          <w:rFonts w:hint="cs"/>
          <w:rtl/>
        </w:rPr>
        <w:t>כועדה</w:t>
      </w:r>
      <w:proofErr w:type="spellEnd"/>
      <w:r w:rsidR="00324F7C">
        <w:rPr>
          <w:rFonts w:hint="cs"/>
          <w:rtl/>
        </w:rPr>
        <w:t xml:space="preserve"> </w:t>
      </w:r>
      <w:proofErr w:type="spellStart"/>
      <w:r w:rsidR="00324F7C">
        <w:rPr>
          <w:rFonts w:hint="cs"/>
          <w:rtl/>
        </w:rPr>
        <w:t>לעררים</w:t>
      </w:r>
      <w:proofErr w:type="spellEnd"/>
      <w:r w:rsidRPr="000A5E1C">
        <w:rPr>
          <w:rFonts w:hint="cs"/>
          <w:rtl/>
        </w:rPr>
        <w:t xml:space="preserve"> סמכות</w:t>
      </w:r>
      <w:r w:rsidR="00132E82">
        <w:rPr>
          <w:rFonts w:hint="cs"/>
          <w:rtl/>
        </w:rPr>
        <w:t xml:space="preserve"> רחבה</w:t>
      </w:r>
      <w:r w:rsidRPr="000A5E1C">
        <w:rPr>
          <w:rFonts w:hint="cs"/>
          <w:rtl/>
        </w:rPr>
        <w:t xml:space="preserve"> </w:t>
      </w:r>
      <w:r w:rsidR="00132E82">
        <w:rPr>
          <w:rFonts w:hint="cs"/>
          <w:rtl/>
        </w:rPr>
        <w:t>כפי שיפורט להלן.</w:t>
      </w:r>
    </w:p>
    <w:p w14:paraId="6955F795" w14:textId="5909FFAA" w:rsidR="002358BF" w:rsidRPr="000A5E1C" w:rsidRDefault="002358BF" w:rsidP="005F1ADD">
      <w:pPr>
        <w:pStyle w:val="a6"/>
        <w:numPr>
          <w:ilvl w:val="0"/>
          <w:numId w:val="15"/>
        </w:numPr>
        <w:spacing w:before="240" w:after="240" w:line="360" w:lineRule="auto"/>
        <w:ind w:left="284"/>
        <w:jc w:val="both"/>
      </w:pPr>
      <w:r w:rsidRPr="000A5E1C">
        <w:rPr>
          <w:rFonts w:hint="cs"/>
          <w:rtl/>
        </w:rPr>
        <w:lastRenderedPageBreak/>
        <w:t xml:space="preserve">טענת המערער כי "הסמכות לקביעת דרגת הנכות מסורה לוועדה הרפואית" </w:t>
      </w:r>
      <w:r w:rsidR="00EF2B3F" w:rsidRPr="000A5E1C">
        <w:rPr>
          <w:rFonts w:hint="cs"/>
          <w:rtl/>
        </w:rPr>
        <w:t>תוך שלילת הסמכות של בית המשפט וזאת, לטענת המערער, מכיוון שזהו רצון המחוקק אינה נכונה ודינה להידחות. עצם הקניית הסמכות לא באה לשלול סמכות מבית המשפט הנכבד, אלא, להקנות סמכות מקום שזו אינה מוקנית לו אלמלא נחקק.</w:t>
      </w:r>
    </w:p>
    <w:p w14:paraId="367ABADB" w14:textId="550F27D5" w:rsidR="00EF2B3F" w:rsidRPr="000A5E1C" w:rsidRDefault="00EF2B3F" w:rsidP="005F1ADD">
      <w:pPr>
        <w:pStyle w:val="a6"/>
        <w:numPr>
          <w:ilvl w:val="0"/>
          <w:numId w:val="15"/>
        </w:numPr>
        <w:spacing w:before="240" w:after="240" w:line="360" w:lineRule="auto"/>
        <w:ind w:left="284"/>
        <w:jc w:val="both"/>
      </w:pPr>
      <w:r w:rsidRPr="000A5E1C">
        <w:rPr>
          <w:rFonts w:hint="cs"/>
          <w:rtl/>
        </w:rPr>
        <w:t>להבדיל מסמכויות הוועדה</w:t>
      </w:r>
      <w:r w:rsidR="00880B87">
        <w:rPr>
          <w:rFonts w:hint="cs"/>
          <w:rtl/>
        </w:rPr>
        <w:t xml:space="preserve"> הרפואית</w:t>
      </w:r>
      <w:r w:rsidRPr="000A5E1C">
        <w:rPr>
          <w:rFonts w:hint="cs"/>
          <w:rtl/>
        </w:rPr>
        <w:t xml:space="preserve">, </w:t>
      </w:r>
      <w:r w:rsidR="00961B2B" w:rsidRPr="000A5E1C">
        <w:rPr>
          <w:rFonts w:hint="cs"/>
          <w:rtl/>
        </w:rPr>
        <w:t xml:space="preserve">לבית המשפט אשר יושב בשבתו </w:t>
      </w:r>
      <w:proofErr w:type="spellStart"/>
      <w:r w:rsidR="00961B2B" w:rsidRPr="000A5E1C">
        <w:rPr>
          <w:rFonts w:hint="cs"/>
          <w:rtl/>
        </w:rPr>
        <w:t>כועדת</w:t>
      </w:r>
      <w:proofErr w:type="spellEnd"/>
      <w:r w:rsidR="00961B2B" w:rsidRPr="000A5E1C">
        <w:rPr>
          <w:rFonts w:hint="cs"/>
          <w:rtl/>
        </w:rPr>
        <w:t xml:space="preserve"> ערעורים ניתנו סמכויות רחבות, לאשר</w:t>
      </w:r>
      <w:r w:rsidR="00D91EEF">
        <w:rPr>
          <w:rFonts w:hint="cs"/>
          <w:rtl/>
        </w:rPr>
        <w:t xml:space="preserve">/לשנות </w:t>
      </w:r>
      <w:r w:rsidR="00961B2B" w:rsidRPr="000A5E1C">
        <w:rPr>
          <w:rFonts w:hint="cs"/>
          <w:rtl/>
        </w:rPr>
        <w:t>את החלטת קצין התגמולים</w:t>
      </w:r>
      <w:r w:rsidR="00324F7C">
        <w:rPr>
          <w:rFonts w:hint="cs"/>
          <w:rtl/>
        </w:rPr>
        <w:t xml:space="preserve"> </w:t>
      </w:r>
      <w:r w:rsidR="00324F7C">
        <w:rPr>
          <w:rtl/>
        </w:rPr>
        <w:t>–</w:t>
      </w:r>
      <w:r w:rsidR="00324F7C">
        <w:rPr>
          <w:rFonts w:hint="cs"/>
          <w:rtl/>
        </w:rPr>
        <w:t xml:space="preserve"> אילו רצה המחוקק כי סמכותה של ועדת עררים תסתכם בקביעת קשר סיבתי היה כותב זאת מפורשות.  </w:t>
      </w:r>
    </w:p>
    <w:p w14:paraId="2F4EAAA0" w14:textId="4B2ACEDB" w:rsidR="00617277" w:rsidRPr="000A5E1C" w:rsidRDefault="00617277" w:rsidP="005F1ADD">
      <w:pPr>
        <w:pStyle w:val="a6"/>
        <w:numPr>
          <w:ilvl w:val="0"/>
          <w:numId w:val="15"/>
        </w:numPr>
        <w:spacing w:before="240" w:after="240" w:line="360" w:lineRule="auto"/>
        <w:ind w:left="284"/>
        <w:jc w:val="both"/>
      </w:pPr>
      <w:r w:rsidRPr="000A5E1C">
        <w:rPr>
          <w:rFonts w:hint="cs"/>
          <w:rtl/>
        </w:rPr>
        <w:t>טענת המערער לפיה הוועדה בראשה שופט ועל חבריה נמנה (נמנים) רופא (ים) נעדרת סמכות דינה להידחות בנסיבות דנן.</w:t>
      </w:r>
    </w:p>
    <w:p w14:paraId="113A4994" w14:textId="14D1B463" w:rsidR="00617277" w:rsidRPr="00132E82" w:rsidRDefault="00617277" w:rsidP="005F1ADD">
      <w:pPr>
        <w:pStyle w:val="a6"/>
        <w:numPr>
          <w:ilvl w:val="0"/>
          <w:numId w:val="15"/>
        </w:numPr>
        <w:spacing w:before="240" w:after="240" w:line="360" w:lineRule="auto"/>
        <w:ind w:left="284"/>
        <w:jc w:val="both"/>
      </w:pPr>
      <w:r w:rsidRPr="00132E82">
        <w:rPr>
          <w:rFonts w:hint="cs"/>
          <w:rtl/>
        </w:rPr>
        <w:t>עוד בטרם נתייחס לטענה בנסיבות המקרה</w:t>
      </w:r>
      <w:r w:rsidR="00FB2242" w:rsidRPr="00132E82">
        <w:rPr>
          <w:rFonts w:hint="cs"/>
          <w:rtl/>
        </w:rPr>
        <w:t xml:space="preserve"> הספציפי וטעם נוסף המהווה סיבה לדחיית הערעור, יטען המשיב כי שאלת סמכותה של הוועדה הנכבדה נדונה במספר פסקי דין בהם נקבע מפורשות כי המחוקק ביקש להקנות לוועדת הערעור שיקול דעת רחב, </w:t>
      </w:r>
      <w:r w:rsidR="00BC3853" w:rsidRPr="00132E82">
        <w:rPr>
          <w:rFonts w:hint="cs"/>
          <w:rtl/>
        </w:rPr>
        <w:t>לרבות מומחיות מקצועית רפואית.</w:t>
      </w:r>
      <w:r w:rsidR="00703503" w:rsidRPr="00132E82">
        <w:rPr>
          <w:rFonts w:hint="cs"/>
          <w:rtl/>
        </w:rPr>
        <w:t xml:space="preserve"> </w:t>
      </w:r>
    </w:p>
    <w:p w14:paraId="2933E57E" w14:textId="2783445E" w:rsidR="00F8344E" w:rsidRDefault="00F8344E" w:rsidP="00B60ABF">
      <w:pPr>
        <w:pStyle w:val="a6"/>
        <w:numPr>
          <w:ilvl w:val="0"/>
          <w:numId w:val="15"/>
        </w:numPr>
        <w:spacing w:line="360" w:lineRule="auto"/>
        <w:ind w:left="340"/>
        <w:jc w:val="both"/>
      </w:pPr>
      <w:r w:rsidRPr="000A5E1C">
        <w:rPr>
          <w:rFonts w:hint="cs"/>
          <w:rtl/>
        </w:rPr>
        <w:t>בית המשפט העליון, מפי כבוד השופט (</w:t>
      </w:r>
      <w:proofErr w:type="spellStart"/>
      <w:r w:rsidRPr="000A5E1C">
        <w:rPr>
          <w:rFonts w:hint="cs"/>
          <w:rtl/>
        </w:rPr>
        <w:t>בדימ</w:t>
      </w:r>
      <w:proofErr w:type="spellEnd"/>
      <w:r w:rsidRPr="000A5E1C">
        <w:rPr>
          <w:rFonts w:hint="cs"/>
          <w:rtl/>
        </w:rPr>
        <w:t xml:space="preserve">.) </w:t>
      </w:r>
      <w:proofErr w:type="spellStart"/>
      <w:r w:rsidRPr="000A5E1C">
        <w:rPr>
          <w:rFonts w:hint="cs"/>
          <w:rtl/>
        </w:rPr>
        <w:t>דנציגר</w:t>
      </w:r>
      <w:proofErr w:type="spellEnd"/>
      <w:r w:rsidRPr="000A5E1C">
        <w:rPr>
          <w:rFonts w:hint="cs"/>
          <w:rtl/>
        </w:rPr>
        <w:t xml:space="preserve"> </w:t>
      </w:r>
      <w:proofErr w:type="spellStart"/>
      <w:r w:rsidRPr="000A5E1C">
        <w:rPr>
          <w:rFonts w:hint="cs"/>
          <w:rtl/>
        </w:rPr>
        <w:t>ברע"א</w:t>
      </w:r>
      <w:proofErr w:type="spellEnd"/>
      <w:r w:rsidRPr="000A5E1C">
        <w:rPr>
          <w:rFonts w:hint="cs"/>
          <w:rtl/>
        </w:rPr>
        <w:t xml:space="preserve"> 7636/12 </w:t>
      </w:r>
      <w:r w:rsidRPr="000A5E1C">
        <w:rPr>
          <w:rFonts w:hint="cs"/>
          <w:b/>
          <w:bCs/>
          <w:rtl/>
        </w:rPr>
        <w:t xml:space="preserve">קצין התגמולים נ' פלוני </w:t>
      </w:r>
      <w:r w:rsidRPr="000A5E1C">
        <w:rPr>
          <w:rFonts w:hint="cs"/>
          <w:rtl/>
        </w:rPr>
        <w:t xml:space="preserve">(פורסם בנבו), בהותירו את פסק דינו של בית המשפט המחוזי על כנו, </w:t>
      </w:r>
      <w:r w:rsidR="00132E82">
        <w:rPr>
          <w:rFonts w:hint="cs"/>
          <w:rtl/>
        </w:rPr>
        <w:t>קובע כדלקמן:</w:t>
      </w:r>
    </w:p>
    <w:p w14:paraId="11FA252D" w14:textId="77777777" w:rsidR="00B60ABF" w:rsidRPr="000A5E1C" w:rsidRDefault="00B60ABF" w:rsidP="00B60ABF">
      <w:pPr>
        <w:pStyle w:val="a6"/>
        <w:spacing w:line="360" w:lineRule="auto"/>
        <w:ind w:left="340"/>
        <w:jc w:val="both"/>
      </w:pPr>
    </w:p>
    <w:p w14:paraId="57A77A04" w14:textId="20F64044" w:rsidR="00F8344E" w:rsidRPr="000A5E1C" w:rsidRDefault="00F8344E" w:rsidP="00B60ABF">
      <w:pPr>
        <w:pStyle w:val="a6"/>
        <w:spacing w:line="360" w:lineRule="auto"/>
        <w:ind w:left="340"/>
        <w:jc w:val="both"/>
        <w:rPr>
          <w:rtl/>
        </w:rPr>
      </w:pPr>
      <w:r w:rsidRPr="000A5E1C">
        <w:rPr>
          <w:rFonts w:hint="cs"/>
          <w:rtl/>
        </w:rPr>
        <w:t>"</w:t>
      </w:r>
      <w:proofErr w:type="spellStart"/>
      <w:r w:rsidRPr="000A5E1C">
        <w:rPr>
          <w:rFonts w:hint="cs"/>
          <w:rtl/>
        </w:rPr>
        <w:t>לועדת</w:t>
      </w:r>
      <w:proofErr w:type="spellEnd"/>
      <w:r w:rsidRPr="000A5E1C">
        <w:rPr>
          <w:rFonts w:hint="cs"/>
          <w:rtl/>
        </w:rPr>
        <w:t xml:space="preserve"> הערעור, ככל טריבונל </w:t>
      </w:r>
      <w:proofErr w:type="spellStart"/>
      <w:r w:rsidRPr="000A5E1C">
        <w:rPr>
          <w:rFonts w:hint="cs"/>
          <w:rtl/>
        </w:rPr>
        <w:t>מינהלי</w:t>
      </w:r>
      <w:proofErr w:type="spellEnd"/>
      <w:r w:rsidRPr="000A5E1C">
        <w:rPr>
          <w:rFonts w:hint="cs"/>
          <w:rtl/>
        </w:rPr>
        <w:t xml:space="preserve"> בעל מומחיות מיוחדת, סמכות להיזקק לידיעתם ולניסיונם של חבריה בעניינים שבמומחיותם, וזאת בבחינת חריג לכלל האוסר על שופט להיזקק לעובדות שאינן בגדר "ידיעה שיפוטית..."  "הדבר נוגע </w:t>
      </w:r>
      <w:proofErr w:type="spellStart"/>
      <w:r w:rsidRPr="000A5E1C">
        <w:rPr>
          <w:rFonts w:hint="cs"/>
          <w:rtl/>
        </w:rPr>
        <w:t>מאופיה</w:t>
      </w:r>
      <w:proofErr w:type="spellEnd"/>
      <w:r w:rsidRPr="000A5E1C">
        <w:rPr>
          <w:rFonts w:hint="cs"/>
          <w:rtl/>
        </w:rPr>
        <w:t xml:space="preserve"> של ועדת הערעור כערכאה אשר לה הסמכות הסופית להכריע בסוגיות עובדתיות </w:t>
      </w:r>
      <w:r w:rsidR="00132E82">
        <w:rPr>
          <w:rFonts w:hint="cs"/>
          <w:rtl/>
        </w:rPr>
        <w:t>ר</w:t>
      </w:r>
      <w:r w:rsidRPr="000A5E1C">
        <w:rPr>
          <w:rFonts w:hint="cs"/>
          <w:rtl/>
        </w:rPr>
        <w:t>פואיות בערעור על החלטות קצין התגמולים, שהרי הערעור על החלטותיה יכול שייעשה בשאלה משפטית בלבד...מתוקף תפקידה זה קובע חוק התגמולים כי על הועדה לכלול בהרכבה לפחות רופא אחד, בנוסף לשופט המכהן כראש הוועדה (סעיף 26(ב) לחוק). כמו כן, ועדת הערעור אינה קשורה "בדקדוקי דיון ובדיני ראיה" והיא רשאית לפעול בדרך הנראית לה "כמועילה ביותר לבירור השאלות העומדות לדיון..." (סעיף 28 לחוק).</w:t>
      </w:r>
      <w:r w:rsidR="00880B87">
        <w:rPr>
          <w:rFonts w:hint="cs"/>
          <w:rtl/>
        </w:rPr>
        <w:t>"</w:t>
      </w:r>
      <w:r w:rsidRPr="000A5E1C">
        <w:rPr>
          <w:rFonts w:hint="cs"/>
          <w:rtl/>
        </w:rPr>
        <w:t xml:space="preserve"> (ראו שם, פסקה 11 לפסה"ד). </w:t>
      </w:r>
    </w:p>
    <w:p w14:paraId="53853C55" w14:textId="254A7F85" w:rsidR="00F8344E" w:rsidRPr="000A5E1C" w:rsidRDefault="00F8344E" w:rsidP="005F1ADD">
      <w:pPr>
        <w:pStyle w:val="a6"/>
        <w:numPr>
          <w:ilvl w:val="0"/>
          <w:numId w:val="15"/>
        </w:numPr>
        <w:spacing w:before="240" w:after="240" w:line="360" w:lineRule="auto"/>
        <w:ind w:left="278" w:hanging="357"/>
        <w:jc w:val="both"/>
      </w:pPr>
      <w:r w:rsidRPr="000A5E1C">
        <w:rPr>
          <w:rFonts w:hint="cs"/>
          <w:rtl/>
        </w:rPr>
        <w:t>בהליך שם טען המערער כי בית המשפט המחוזי קיבל החלטה על סמך תיאוריה רפואית שאינה נטענה בחוות הדעת הרפואיות מטעמם של הצדדים. בית המשפט העליון אינו מתערב בהחלטת המחוזי אשר קיבל החלטה בהתבסס על עמדה רפואית שאינה נתמכה בחוות הדעת ומוסיף כי בבחינת למעלה מן הצור</w:t>
      </w:r>
      <w:r w:rsidR="00880B87">
        <w:rPr>
          <w:rFonts w:hint="cs"/>
          <w:rtl/>
        </w:rPr>
        <w:t>ך</w:t>
      </w:r>
      <w:r w:rsidRPr="000A5E1C">
        <w:rPr>
          <w:rFonts w:hint="cs"/>
          <w:rtl/>
        </w:rPr>
        <w:t>, גם אילו הייתה ניתנת רשות ערעור, לא היה מתערב בהחלטת הוועדה וכחיזוק לעמדתו זו מציין בית המשפט הנכבד כדלקמן: "...</w:t>
      </w:r>
      <w:r w:rsidRPr="00880B87">
        <w:rPr>
          <w:rFonts w:hint="cs"/>
          <w:b/>
          <w:bCs/>
          <w:rtl/>
        </w:rPr>
        <w:t>אדגיש כי אין עסקינן במקרה בו הנמקתה של ועדת הערעור "הפתיעה" את המבקש, שכן, המומחה מטעמו נשאל מפורשות אודות התיאוריה שבבסיס הנמקתה מספר פעמים בחקירתו..."</w:t>
      </w:r>
      <w:r w:rsidRPr="000A5E1C">
        <w:rPr>
          <w:rFonts w:hint="cs"/>
          <w:rtl/>
        </w:rPr>
        <w:t xml:space="preserve">| </w:t>
      </w:r>
      <w:r w:rsidR="00880B87">
        <w:rPr>
          <w:rFonts w:hint="cs"/>
          <w:rtl/>
        </w:rPr>
        <w:t>(</w:t>
      </w:r>
      <w:r w:rsidRPr="000A5E1C">
        <w:rPr>
          <w:rFonts w:hint="cs"/>
          <w:rtl/>
        </w:rPr>
        <w:t>שם, פיסקה 15 לפסה"ד)</w:t>
      </w:r>
    </w:p>
    <w:p w14:paraId="4272D26E" w14:textId="360AE8FC" w:rsidR="00703503" w:rsidRPr="000A5E1C" w:rsidRDefault="00703503" w:rsidP="005F1ADD">
      <w:pPr>
        <w:pStyle w:val="a6"/>
        <w:numPr>
          <w:ilvl w:val="0"/>
          <w:numId w:val="15"/>
        </w:numPr>
        <w:spacing w:before="240" w:after="240" w:line="360" w:lineRule="auto"/>
        <w:ind w:left="278" w:hanging="357"/>
        <w:jc w:val="both"/>
      </w:pPr>
      <w:r w:rsidRPr="000A5E1C">
        <w:rPr>
          <w:rFonts w:hint="cs"/>
          <w:rtl/>
        </w:rPr>
        <w:t xml:space="preserve">המשיב יטען כי טענת המערער בדבר חוסר סמכות דינה להידחות מטעם נוסף, אם, לשיטת הוועדה הסמכות היחידה לקבוע נכות הינה של ועדה רפואית, לא יתכן כי נכות תיקבע שלא במסגרת וועדה רפואית, הוכחה לכך שאין זהו המצב ניתן למצוא במקרים בהם בהתבסס על חוות דעת (חוות דעת </w:t>
      </w:r>
      <w:r w:rsidRPr="000A5E1C">
        <w:rPr>
          <w:rFonts w:hint="cs"/>
          <w:rtl/>
        </w:rPr>
        <w:lastRenderedPageBreak/>
        <w:t xml:space="preserve">מטעמו של הנכה אל מול חוות דעת מומחה מטעמו של קצין התגמולים) </w:t>
      </w:r>
      <w:r w:rsidRPr="00880B87">
        <w:rPr>
          <w:rFonts w:hint="cs"/>
          <w:b/>
          <w:bCs/>
          <w:rtl/>
        </w:rPr>
        <w:t xml:space="preserve">מגיעים הצדדים להסכמה בדבר גובה הנכות </w:t>
      </w:r>
      <w:r w:rsidR="001324E5" w:rsidRPr="00880B87">
        <w:rPr>
          <w:rFonts w:hint="cs"/>
          <w:b/>
          <w:bCs/>
          <w:rtl/>
        </w:rPr>
        <w:t>ו</w:t>
      </w:r>
      <w:r w:rsidRPr="00880B87">
        <w:rPr>
          <w:rFonts w:hint="cs"/>
          <w:b/>
          <w:bCs/>
          <w:rtl/>
        </w:rPr>
        <w:t xml:space="preserve">מכאן שסמכות לקבוע נכות לא מסורה רק </w:t>
      </w:r>
      <w:proofErr w:type="spellStart"/>
      <w:r w:rsidRPr="00880B87">
        <w:rPr>
          <w:rFonts w:hint="cs"/>
          <w:b/>
          <w:bCs/>
          <w:rtl/>
        </w:rPr>
        <w:t>לועדה</w:t>
      </w:r>
      <w:proofErr w:type="spellEnd"/>
      <w:r w:rsidRPr="00880B87">
        <w:rPr>
          <w:rFonts w:hint="cs"/>
          <w:b/>
          <w:bCs/>
          <w:rtl/>
        </w:rPr>
        <w:t xml:space="preserve"> רפואית כפי שטוען המערער.</w:t>
      </w:r>
    </w:p>
    <w:p w14:paraId="14C35EFC" w14:textId="70AB409C" w:rsidR="00725317" w:rsidRPr="000A5E1C" w:rsidRDefault="001324E5" w:rsidP="005F1ADD">
      <w:pPr>
        <w:pStyle w:val="a6"/>
        <w:numPr>
          <w:ilvl w:val="0"/>
          <w:numId w:val="15"/>
        </w:numPr>
        <w:spacing w:before="240" w:after="240" w:line="360" w:lineRule="auto"/>
        <w:ind w:left="278" w:hanging="357"/>
        <w:jc w:val="both"/>
        <w:rPr>
          <w:rtl/>
        </w:rPr>
      </w:pPr>
      <w:r>
        <w:rPr>
          <w:rFonts w:hint="cs"/>
          <w:rtl/>
        </w:rPr>
        <w:t xml:space="preserve">למקרה בו יטען ב"כ המערער כי אין מקרים דוגמת אלה בנמצא (על אף </w:t>
      </w:r>
      <w:r w:rsidR="0051070E">
        <w:rPr>
          <w:rFonts w:hint="cs"/>
          <w:rtl/>
        </w:rPr>
        <w:t>שמקרים כגון דא שכיחים</w:t>
      </w:r>
      <w:r w:rsidR="00880B87">
        <w:rPr>
          <w:rFonts w:hint="cs"/>
          <w:rtl/>
        </w:rPr>
        <w:t xml:space="preserve"> </w:t>
      </w:r>
      <w:proofErr w:type="spellStart"/>
      <w:r w:rsidR="00880B87">
        <w:rPr>
          <w:rFonts w:hint="cs"/>
          <w:rtl/>
        </w:rPr>
        <w:t>והח"מ</w:t>
      </w:r>
      <w:proofErr w:type="spellEnd"/>
      <w:r w:rsidR="00880B87">
        <w:rPr>
          <w:rFonts w:hint="cs"/>
          <w:rtl/>
        </w:rPr>
        <w:t xml:space="preserve"> עצמו יכול להעיד בדבר</w:t>
      </w:r>
      <w:r>
        <w:rPr>
          <w:rFonts w:hint="cs"/>
          <w:rtl/>
        </w:rPr>
        <w:t>)</w:t>
      </w:r>
      <w:r w:rsidR="00900427" w:rsidRPr="000A5E1C">
        <w:rPr>
          <w:rFonts w:hint="cs"/>
          <w:rtl/>
        </w:rPr>
        <w:t xml:space="preserve"> יופנו השופטים הנכבדים לפסק הדין שניתן בת"א 1376/99 </w:t>
      </w:r>
      <w:r w:rsidR="00900427" w:rsidRPr="000A5E1C">
        <w:rPr>
          <w:rFonts w:hint="cs"/>
          <w:b/>
          <w:bCs/>
          <w:rtl/>
        </w:rPr>
        <w:t>קצין התגמולים נ' פלוני</w:t>
      </w:r>
      <w:r w:rsidR="00900427" w:rsidRPr="000A5E1C">
        <w:rPr>
          <w:rFonts w:hint="cs"/>
          <w:rtl/>
        </w:rPr>
        <w:t xml:space="preserve"> (פורסם בנבו) שם </w:t>
      </w:r>
      <w:r>
        <w:rPr>
          <w:rFonts w:hint="cs"/>
          <w:rtl/>
        </w:rPr>
        <w:t>נדונה בקשת</w:t>
      </w:r>
      <w:r w:rsidR="00900427" w:rsidRPr="000A5E1C">
        <w:rPr>
          <w:rFonts w:hint="cs"/>
          <w:rtl/>
        </w:rPr>
        <w:t xml:space="preserve"> המערער לביטול פסק דינו של בית המשפט המחוזי </w:t>
      </w:r>
      <w:r w:rsidR="00900427" w:rsidRPr="001324E5">
        <w:rPr>
          <w:rFonts w:hint="cs"/>
          <w:u w:val="single"/>
          <w:rtl/>
        </w:rPr>
        <w:t>אשר נתן תוקף להסכם הפשרה עליה הסכימו הצדדים</w:t>
      </w:r>
      <w:r w:rsidR="00900427" w:rsidRPr="000A5E1C">
        <w:rPr>
          <w:rFonts w:hint="cs"/>
          <w:rtl/>
        </w:rPr>
        <w:t xml:space="preserve">. </w:t>
      </w:r>
      <w:r w:rsidR="00725317" w:rsidRPr="000A5E1C">
        <w:rPr>
          <w:rFonts w:hint="cs"/>
          <w:rtl/>
        </w:rPr>
        <w:t>שם</w:t>
      </w:r>
      <w:r>
        <w:rPr>
          <w:rFonts w:hint="cs"/>
          <w:rtl/>
        </w:rPr>
        <w:t>,</w:t>
      </w:r>
      <w:r w:rsidR="00725317" w:rsidRPr="000A5E1C">
        <w:rPr>
          <w:rFonts w:hint="cs"/>
          <w:rtl/>
        </w:rPr>
        <w:t xml:space="preserve"> כמו כאן</w:t>
      </w:r>
      <w:r>
        <w:rPr>
          <w:rFonts w:hint="cs"/>
          <w:rtl/>
        </w:rPr>
        <w:t>,</w:t>
      </w:r>
      <w:r w:rsidR="00725317" w:rsidRPr="000A5E1C">
        <w:rPr>
          <w:rFonts w:hint="cs"/>
          <w:rtl/>
        </w:rPr>
        <w:t xml:space="preserve"> טען המערער</w:t>
      </w:r>
      <w:r>
        <w:rPr>
          <w:rFonts w:hint="cs"/>
          <w:rtl/>
        </w:rPr>
        <w:t xml:space="preserve"> שלא בצדק,</w:t>
      </w:r>
      <w:r w:rsidR="00725317" w:rsidRPr="000A5E1C">
        <w:rPr>
          <w:rFonts w:hint="cs"/>
          <w:rtl/>
        </w:rPr>
        <w:t xml:space="preserve"> כי לוועדה אין סמכות ולאחר שהטיל את האשמה בטעות של הפרקליטה הצעירה מטעמו </w:t>
      </w:r>
      <w:r>
        <w:rPr>
          <w:rFonts w:hint="cs"/>
          <w:rtl/>
        </w:rPr>
        <w:t>אשר נאלצה לבוא</w:t>
      </w:r>
      <w:r w:rsidR="00725317" w:rsidRPr="000A5E1C">
        <w:rPr>
          <w:rFonts w:hint="cs"/>
          <w:rtl/>
        </w:rPr>
        <w:t xml:space="preserve"> להעיד ולשאת </w:t>
      </w:r>
      <w:r w:rsidR="0051070E">
        <w:rPr>
          <w:rFonts w:hint="cs"/>
          <w:rtl/>
        </w:rPr>
        <w:t>ב</w:t>
      </w:r>
      <w:r w:rsidR="00725317" w:rsidRPr="000A5E1C">
        <w:rPr>
          <w:rFonts w:hint="cs"/>
          <w:rtl/>
        </w:rPr>
        <w:t xml:space="preserve">אשמה, החליט בית המשפט חרף </w:t>
      </w:r>
      <w:r>
        <w:rPr>
          <w:rFonts w:hint="cs"/>
          <w:rtl/>
        </w:rPr>
        <w:t>כך</w:t>
      </w:r>
      <w:r w:rsidR="00725317" w:rsidRPr="000A5E1C">
        <w:rPr>
          <w:rFonts w:hint="cs"/>
          <w:rtl/>
        </w:rPr>
        <w:t xml:space="preserve"> </w:t>
      </w:r>
      <w:r>
        <w:rPr>
          <w:rFonts w:hint="cs"/>
          <w:rtl/>
        </w:rPr>
        <w:t>שקיבל את הטענה</w:t>
      </w:r>
      <w:r w:rsidR="00725317" w:rsidRPr="000A5E1C">
        <w:rPr>
          <w:rFonts w:hint="cs"/>
          <w:rtl/>
        </w:rPr>
        <w:t xml:space="preserve"> כי הפרקליטה טעתה להותיר את פסק הדין והשלכותיו על כנו. </w:t>
      </w:r>
    </w:p>
    <w:p w14:paraId="3CFB6E4D" w14:textId="02DBDD3B" w:rsidR="00725317" w:rsidRDefault="00725317" w:rsidP="005F1ADD">
      <w:pPr>
        <w:pStyle w:val="a6"/>
        <w:numPr>
          <w:ilvl w:val="0"/>
          <w:numId w:val="15"/>
        </w:numPr>
        <w:spacing w:before="240" w:after="240" w:line="360" w:lineRule="auto"/>
        <w:ind w:left="278" w:hanging="357"/>
        <w:jc w:val="both"/>
      </w:pPr>
      <w:r w:rsidRPr="000A5E1C">
        <w:rPr>
          <w:rFonts w:hint="cs"/>
          <w:rtl/>
        </w:rPr>
        <w:t xml:space="preserve">לא צריך להידרש לדיני החוזים ולניתוח המשפטי שעשה בית המשפט הנכבד בהליך </w:t>
      </w:r>
      <w:proofErr w:type="spellStart"/>
      <w:r w:rsidRPr="000A5E1C">
        <w:rPr>
          <w:rFonts w:hint="cs"/>
          <w:rtl/>
        </w:rPr>
        <w:t>המצויין</w:t>
      </w:r>
      <w:proofErr w:type="spellEnd"/>
      <w:r w:rsidRPr="000A5E1C">
        <w:rPr>
          <w:rFonts w:hint="cs"/>
          <w:rtl/>
        </w:rPr>
        <w:t xml:space="preserve"> לעיל (1376/99), שהרי, </w:t>
      </w:r>
      <w:r w:rsidRPr="001324E5">
        <w:rPr>
          <w:rFonts w:hint="cs"/>
          <w:b/>
          <w:bCs/>
          <w:rtl/>
        </w:rPr>
        <w:t>אם אין בסמכות הוועדה הנכבדה לקבוע נכות כלל ודאי שאין ל</w:t>
      </w:r>
      <w:r w:rsidR="0051070E">
        <w:rPr>
          <w:rFonts w:hint="cs"/>
          <w:b/>
          <w:bCs/>
          <w:rtl/>
        </w:rPr>
        <w:t>ה</w:t>
      </w:r>
      <w:r w:rsidRPr="001324E5">
        <w:rPr>
          <w:rFonts w:hint="cs"/>
          <w:b/>
          <w:bCs/>
          <w:rtl/>
        </w:rPr>
        <w:t xml:space="preserve"> סמכות ליתן תוקף של פסק דין להסכמת צדדים שהינם עורכי דין ולא רופאים. כבר הראנו כי המחוקק בחר ליתן לוועדה סמכות שיקול דעת רחב לרבות מומחיות מקצועית רפואית והנה הדבר מקבל חיזוק נוסף.</w:t>
      </w:r>
    </w:p>
    <w:p w14:paraId="3BEBBA7D" w14:textId="1CA2FCA8" w:rsidR="00B60ABF" w:rsidRPr="000A5E1C" w:rsidRDefault="00B60ABF" w:rsidP="005F1ADD">
      <w:pPr>
        <w:pStyle w:val="a6"/>
        <w:numPr>
          <w:ilvl w:val="0"/>
          <w:numId w:val="15"/>
        </w:numPr>
        <w:spacing w:before="240" w:after="240" w:line="360" w:lineRule="auto"/>
        <w:ind w:left="278" w:hanging="357"/>
        <w:jc w:val="both"/>
      </w:pPr>
      <w:r>
        <w:rPr>
          <w:rFonts w:hint="cs"/>
          <w:rtl/>
        </w:rPr>
        <w:t xml:space="preserve">המערער למעשה מנוע מלטעון בדבר היעדר סמכותה של ועדת </w:t>
      </w:r>
      <w:proofErr w:type="spellStart"/>
      <w:r>
        <w:rPr>
          <w:rFonts w:hint="cs"/>
          <w:rtl/>
        </w:rPr>
        <w:t>העררים</w:t>
      </w:r>
      <w:proofErr w:type="spellEnd"/>
      <w:r>
        <w:rPr>
          <w:rFonts w:hint="cs"/>
          <w:rtl/>
        </w:rPr>
        <w:t xml:space="preserve"> שעה שהוא עצמו עושה שימוש בסמכותה הן במקרה ב</w:t>
      </w:r>
      <w:r w:rsidR="00310A0F">
        <w:rPr>
          <w:rFonts w:hint="cs"/>
          <w:rtl/>
        </w:rPr>
        <w:t>ו</w:t>
      </w:r>
      <w:r>
        <w:rPr>
          <w:rFonts w:hint="cs"/>
          <w:rtl/>
        </w:rPr>
        <w:t xml:space="preserve"> נדחה ערעור הנכה והן במקרים בהם ביקש שתינתן החלטה אגב הסכמת הצ</w:t>
      </w:r>
      <w:r w:rsidR="00310A0F">
        <w:rPr>
          <w:rFonts w:hint="cs"/>
          <w:rtl/>
        </w:rPr>
        <w:t>ד</w:t>
      </w:r>
      <w:r>
        <w:rPr>
          <w:rFonts w:hint="cs"/>
          <w:rtl/>
        </w:rPr>
        <w:t>דים כאמור.</w:t>
      </w:r>
    </w:p>
    <w:p w14:paraId="0AF5728A" w14:textId="043BA70D" w:rsidR="00725317" w:rsidRPr="000A5E1C" w:rsidRDefault="00725317" w:rsidP="005F1ADD">
      <w:pPr>
        <w:pStyle w:val="a6"/>
        <w:numPr>
          <w:ilvl w:val="0"/>
          <w:numId w:val="15"/>
        </w:numPr>
        <w:spacing w:before="240" w:after="240" w:line="360" w:lineRule="auto"/>
        <w:ind w:left="278" w:hanging="357"/>
        <w:jc w:val="both"/>
      </w:pPr>
      <w:r w:rsidRPr="000A5E1C">
        <w:rPr>
          <w:rFonts w:hint="cs"/>
          <w:rtl/>
        </w:rPr>
        <w:t xml:space="preserve">מעתה אמור </w:t>
      </w:r>
      <w:r w:rsidRPr="000A5E1C">
        <w:rPr>
          <w:rtl/>
        </w:rPr>
        <w:t>–</w:t>
      </w:r>
      <w:r w:rsidRPr="000A5E1C">
        <w:rPr>
          <w:rFonts w:hint="cs"/>
          <w:rtl/>
        </w:rPr>
        <w:t xml:space="preserve"> וועדה רפואית </w:t>
      </w:r>
      <w:proofErr w:type="spellStart"/>
      <w:r w:rsidRPr="000A5E1C">
        <w:rPr>
          <w:rFonts w:hint="cs"/>
          <w:rtl/>
        </w:rPr>
        <w:t>לעררים</w:t>
      </w:r>
      <w:proofErr w:type="spellEnd"/>
      <w:r w:rsidRPr="000A5E1C">
        <w:rPr>
          <w:rFonts w:hint="cs"/>
          <w:rtl/>
        </w:rPr>
        <w:t xml:space="preserve"> בערעור על החלטת קצין התגמולים לבית משפט השלום הינה ועדה בעלת שיקול דעת רחב לרבות מומחיות מקצועית ויש בסמכותה לקבוע קביעות רפואיות ואף ליתן תוקף של פסק דין להסכמות הצדדים שאינם רופאים תוך הפעלת שיקול דעתם הרחב.</w:t>
      </w:r>
    </w:p>
    <w:p w14:paraId="13A47243" w14:textId="51A21E94" w:rsidR="00725317" w:rsidRPr="000A5E1C" w:rsidRDefault="004D69D8" w:rsidP="005F1ADD">
      <w:pPr>
        <w:pStyle w:val="a6"/>
        <w:numPr>
          <w:ilvl w:val="0"/>
          <w:numId w:val="15"/>
        </w:numPr>
        <w:spacing w:before="240" w:after="240" w:line="360" w:lineRule="auto"/>
        <w:ind w:left="278" w:hanging="357"/>
        <w:jc w:val="both"/>
      </w:pPr>
      <w:r w:rsidRPr="000A5E1C">
        <w:rPr>
          <w:rFonts w:hint="cs"/>
          <w:rtl/>
        </w:rPr>
        <w:t xml:space="preserve">מבלי לגרוע מן האמור לעיל, המשיב יטען כי טענותיו ביחס לסמכויות הוועדה ולשיקול דעתה הרחב מקבלות משנה תוקף וגם אילולא טענותיו להן הובאו תימוכין בפסיקה, מנוע המערער מלטעון טענות בדבר חוסר סמכותה של הוועדה הנכבדה </w:t>
      </w:r>
      <w:r w:rsidRPr="00880B87">
        <w:rPr>
          <w:rFonts w:hint="cs"/>
          <w:b/>
          <w:bCs/>
          <w:rtl/>
        </w:rPr>
        <w:t>גם מן הטעם שנושא נכותו הרפואית של המשיב נדונה במסגרת ההליך והועלתה לראשונה ע"י בא כוחו עת נחקר על ידו מומחה המשיב.</w:t>
      </w:r>
    </w:p>
    <w:p w14:paraId="036CA316" w14:textId="77777777" w:rsidR="000A5E1C" w:rsidRDefault="00F86F14" w:rsidP="000A5E1C">
      <w:pPr>
        <w:pStyle w:val="a6"/>
        <w:spacing w:line="360" w:lineRule="auto"/>
        <w:ind w:left="281"/>
        <w:jc w:val="both"/>
        <w:rPr>
          <w:rtl/>
        </w:rPr>
      </w:pPr>
      <w:r w:rsidRPr="000A5E1C">
        <w:rPr>
          <w:rFonts w:hint="cs"/>
          <w:rtl/>
        </w:rPr>
        <w:t>עו"ד תום עופר (ב"כ המשיב-הח"מ):</w:t>
      </w:r>
    </w:p>
    <w:p w14:paraId="56B88990" w14:textId="0CD93255" w:rsidR="004D69D8" w:rsidRPr="000A5E1C" w:rsidRDefault="00F86F14" w:rsidP="00661904">
      <w:pPr>
        <w:pStyle w:val="a6"/>
        <w:ind w:left="284"/>
        <w:jc w:val="both"/>
        <w:rPr>
          <w:rtl/>
        </w:rPr>
      </w:pPr>
      <w:r w:rsidRPr="000A5E1C">
        <w:rPr>
          <w:rFonts w:hint="cs"/>
          <w:rtl/>
        </w:rPr>
        <w:t xml:space="preserve"> </w:t>
      </w:r>
      <w:proofErr w:type="spellStart"/>
      <w:r w:rsidRPr="000A5E1C">
        <w:rPr>
          <w:rFonts w:hint="cs"/>
          <w:rtl/>
        </w:rPr>
        <w:t>כן,כן</w:t>
      </w:r>
      <w:proofErr w:type="spellEnd"/>
      <w:r w:rsidRPr="000A5E1C">
        <w:rPr>
          <w:rFonts w:hint="cs"/>
          <w:rtl/>
        </w:rPr>
        <w:t xml:space="preserve">, אז לשאלתי שוב, אני מציג לך את סעיפי הליקוי מה </w:t>
      </w:r>
      <w:r w:rsidRPr="000A5E1C">
        <w:rPr>
          <w:rtl/>
        </w:rPr>
        <w:t>–</w:t>
      </w:r>
      <w:r w:rsidRPr="000A5E1C">
        <w:rPr>
          <w:rFonts w:hint="cs"/>
          <w:rtl/>
        </w:rPr>
        <w:t xml:space="preserve"> זה לא מחוק הביטוח הלאומי, נתתי לך אותו.</w:t>
      </w:r>
      <w:r w:rsidR="000A5E1C">
        <w:rPr>
          <w:rFonts w:hint="cs"/>
          <w:rtl/>
        </w:rPr>
        <w:t>..</w:t>
      </w:r>
      <w:r w:rsidRPr="000A5E1C">
        <w:rPr>
          <w:rtl/>
        </w:rPr>
        <w:br/>
      </w:r>
      <w:r w:rsidRPr="000A5E1C">
        <w:rPr>
          <w:rFonts w:hint="cs"/>
          <w:rtl/>
        </w:rPr>
        <w:t>...ש. מה דרגת הנכות?</w:t>
      </w:r>
    </w:p>
    <w:p w14:paraId="072DBB86" w14:textId="34A87AB9" w:rsidR="00F86F14" w:rsidRPr="000A5E1C" w:rsidRDefault="00F86F14" w:rsidP="00661904">
      <w:pPr>
        <w:pStyle w:val="a6"/>
        <w:ind w:left="284"/>
        <w:jc w:val="both"/>
        <w:rPr>
          <w:rtl/>
        </w:rPr>
      </w:pPr>
      <w:r w:rsidRPr="000A5E1C">
        <w:rPr>
          <w:rFonts w:hint="cs"/>
          <w:rtl/>
        </w:rPr>
        <w:t>ת. אז אמרתי, לפני הגיוס...אז אמרתי זה צריך להיות בין 1 ל-2, זאת אומרת בין 1 ל 10% יותר קרוב ל-1, בין אני מעריך סדר גודל של בערך 5% אם הייתי צריך לתת.</w:t>
      </w:r>
    </w:p>
    <w:p w14:paraId="3D70E09F" w14:textId="0D7465D1" w:rsidR="00F86F14" w:rsidRPr="000A5E1C" w:rsidRDefault="00F86F14" w:rsidP="00661904">
      <w:pPr>
        <w:pStyle w:val="a6"/>
        <w:ind w:left="284"/>
        <w:jc w:val="both"/>
        <w:rPr>
          <w:rtl/>
        </w:rPr>
      </w:pPr>
      <w:r w:rsidRPr="000A5E1C">
        <w:rPr>
          <w:rFonts w:hint="cs"/>
          <w:rtl/>
        </w:rPr>
        <w:t>ש. ועם מה השתחרר ועם איזה נכות השתחרר, זאת אומרת ב-</w:t>
      </w:r>
    </w:p>
    <w:p w14:paraId="5D92B62A" w14:textId="279CB0C5" w:rsidR="00F86F14" w:rsidRPr="000A5E1C" w:rsidRDefault="00F86F14" w:rsidP="00661904">
      <w:pPr>
        <w:pStyle w:val="a6"/>
        <w:ind w:left="284"/>
        <w:jc w:val="both"/>
        <w:rPr>
          <w:rtl/>
        </w:rPr>
      </w:pPr>
      <w:r w:rsidRPr="000A5E1C">
        <w:rPr>
          <w:rFonts w:hint="cs"/>
          <w:rtl/>
        </w:rPr>
        <w:t>ת. השתחרר במה שאמרתי.</w:t>
      </w:r>
    </w:p>
    <w:p w14:paraId="596EF306" w14:textId="5396EF53" w:rsidR="00F86F14" w:rsidRDefault="00F86F14" w:rsidP="00661904">
      <w:pPr>
        <w:pStyle w:val="a6"/>
        <w:ind w:left="284"/>
        <w:jc w:val="both"/>
        <w:rPr>
          <w:rtl/>
        </w:rPr>
      </w:pPr>
      <w:r w:rsidRPr="000A5E1C">
        <w:rPr>
          <w:rFonts w:hint="cs"/>
          <w:rtl/>
        </w:rPr>
        <w:t>ש. אה מה שאתה רואה היום נותר ללא שינוי מאז שהשתחרר."</w:t>
      </w:r>
    </w:p>
    <w:p w14:paraId="1671DF56" w14:textId="10441396" w:rsidR="00F86F14" w:rsidRPr="00550717" w:rsidRDefault="00661904" w:rsidP="00550717">
      <w:pPr>
        <w:ind w:firstLine="281"/>
        <w:jc w:val="both"/>
        <w:rPr>
          <w:b/>
          <w:bCs/>
          <w:rtl/>
        </w:rPr>
      </w:pPr>
      <w:r w:rsidRPr="00550717">
        <w:rPr>
          <w:rFonts w:hint="cs"/>
          <w:b/>
          <w:bCs/>
          <w:rtl/>
        </w:rPr>
        <w:t>(</w:t>
      </w:r>
      <w:r w:rsidR="00F86F14" w:rsidRPr="00550717">
        <w:rPr>
          <w:rFonts w:hint="cs"/>
          <w:b/>
          <w:bCs/>
          <w:rtl/>
        </w:rPr>
        <w:t xml:space="preserve">פרוטוקול הדיון מיום </w:t>
      </w:r>
      <w:r w:rsidR="00880B87" w:rsidRPr="00550717">
        <w:rPr>
          <w:rFonts w:hint="cs"/>
          <w:b/>
          <w:bCs/>
          <w:rtl/>
        </w:rPr>
        <w:t>2.6.22</w:t>
      </w:r>
      <w:r w:rsidR="00F86F14" w:rsidRPr="00550717">
        <w:rPr>
          <w:rFonts w:hint="cs"/>
          <w:b/>
          <w:bCs/>
          <w:rtl/>
        </w:rPr>
        <w:t xml:space="preserve"> עמ' 81 שורות 2 </w:t>
      </w:r>
      <w:r w:rsidR="00F86F14" w:rsidRPr="00550717">
        <w:rPr>
          <w:b/>
          <w:bCs/>
          <w:rtl/>
        </w:rPr>
        <w:t>–</w:t>
      </w:r>
      <w:r w:rsidR="00F86F14" w:rsidRPr="00550717">
        <w:rPr>
          <w:rFonts w:hint="cs"/>
          <w:b/>
          <w:bCs/>
          <w:rtl/>
        </w:rPr>
        <w:t xml:space="preserve"> 13).</w:t>
      </w:r>
    </w:p>
    <w:p w14:paraId="1172B5C0" w14:textId="77777777" w:rsidR="00F86F14" w:rsidRPr="000A5E1C" w:rsidRDefault="00F86F14" w:rsidP="000A5E1C">
      <w:pPr>
        <w:pStyle w:val="a6"/>
        <w:spacing w:line="360" w:lineRule="auto"/>
        <w:ind w:left="281"/>
        <w:jc w:val="both"/>
        <w:rPr>
          <w:rtl/>
        </w:rPr>
      </w:pPr>
    </w:p>
    <w:p w14:paraId="44EFE229" w14:textId="78D01C9D" w:rsidR="00F86F14" w:rsidRDefault="00F86F14" w:rsidP="000A5E1C">
      <w:pPr>
        <w:pStyle w:val="a6"/>
        <w:spacing w:line="360" w:lineRule="auto"/>
        <w:ind w:left="281"/>
        <w:jc w:val="both"/>
        <w:rPr>
          <w:rtl/>
        </w:rPr>
      </w:pPr>
      <w:r w:rsidRPr="000A5E1C">
        <w:rPr>
          <w:rFonts w:hint="cs"/>
          <w:rtl/>
        </w:rPr>
        <w:t>ב"כ המערער ממשיך לחקור אודות סעיפי הנכות ביחס למצבו של המשיב בהמשך לאמור לעיל וממשיך לחקור את מומחה המשיב אודות הנכות עובר לגיוס ולאחריו:</w:t>
      </w:r>
    </w:p>
    <w:p w14:paraId="32267B4B" w14:textId="0DD52B62" w:rsidR="00F86F14" w:rsidRPr="000A5E1C" w:rsidRDefault="00F86F14" w:rsidP="000A5E1C">
      <w:pPr>
        <w:pStyle w:val="a6"/>
        <w:spacing w:line="360" w:lineRule="auto"/>
        <w:ind w:left="281"/>
        <w:jc w:val="both"/>
        <w:rPr>
          <w:rtl/>
        </w:rPr>
      </w:pPr>
      <w:r w:rsidRPr="000A5E1C">
        <w:rPr>
          <w:rFonts w:hint="cs"/>
          <w:rtl/>
        </w:rPr>
        <w:t>ש. לפני הגיוס הפנית אותי לסעיפים שמדברים על ללא טיפול תרופתי, ראינו שהיה טיפול לפני הגיוס וגם לפני החשיפה שלו לתנאים שאליהם התייחסת היה טיפול אז זה לא רלוונטי.</w:t>
      </w:r>
    </w:p>
    <w:p w14:paraId="57FA9D9E" w14:textId="3FAE64C5" w:rsidR="00F86F14" w:rsidRDefault="00F86F14" w:rsidP="000A5E1C">
      <w:pPr>
        <w:pStyle w:val="a6"/>
        <w:spacing w:line="360" w:lineRule="auto"/>
        <w:ind w:left="281"/>
        <w:jc w:val="both"/>
        <w:rPr>
          <w:rtl/>
        </w:rPr>
      </w:pPr>
      <w:proofErr w:type="spellStart"/>
      <w:r w:rsidRPr="000A5E1C">
        <w:rPr>
          <w:rFonts w:hint="cs"/>
          <w:rtl/>
        </w:rPr>
        <w:lastRenderedPageBreak/>
        <w:t>ת.לא</w:t>
      </w:r>
      <w:proofErr w:type="spellEnd"/>
      <w:r w:rsidRPr="000A5E1C">
        <w:rPr>
          <w:rFonts w:hint="cs"/>
          <w:rtl/>
        </w:rPr>
        <w:t>, למה לא רלבנטי? זה בדיוק רלבנטי.</w:t>
      </w:r>
    </w:p>
    <w:p w14:paraId="1FAECAB4" w14:textId="3D888218" w:rsidR="00F86F14" w:rsidRPr="000A5E1C" w:rsidRDefault="00F86F14" w:rsidP="00661904">
      <w:pPr>
        <w:pStyle w:val="a6"/>
        <w:ind w:left="113"/>
        <w:jc w:val="both"/>
        <w:rPr>
          <w:rtl/>
        </w:rPr>
      </w:pPr>
      <w:r w:rsidRPr="000A5E1C">
        <w:rPr>
          <w:rFonts w:hint="cs"/>
          <w:rtl/>
        </w:rPr>
        <w:t>יו"ר הועדה, כבוד השופט צור מתערב ומפנה שאלות למומחה מטעמו של המשיב (המערער שם)</w:t>
      </w:r>
    </w:p>
    <w:p w14:paraId="75277307" w14:textId="3DC15438" w:rsidR="00F86F14" w:rsidRPr="000A5E1C" w:rsidRDefault="00F86F14" w:rsidP="00661904">
      <w:pPr>
        <w:pStyle w:val="a6"/>
        <w:ind w:left="113"/>
        <w:jc w:val="both"/>
        <w:rPr>
          <w:rtl/>
        </w:rPr>
      </w:pPr>
      <w:r w:rsidRPr="000A5E1C">
        <w:rPr>
          <w:rFonts w:hint="cs"/>
          <w:rtl/>
        </w:rPr>
        <w:t>"כ.ה. יואל צור: אתה בטח בדקת גם בביטוח לאומי את הסעיפים?</w:t>
      </w:r>
    </w:p>
    <w:p w14:paraId="7A39347D" w14:textId="0F81452C" w:rsidR="00F86F14" w:rsidRPr="000A5E1C" w:rsidRDefault="00F86F14" w:rsidP="00661904">
      <w:pPr>
        <w:pStyle w:val="a6"/>
        <w:ind w:left="113"/>
        <w:jc w:val="both"/>
        <w:rPr>
          <w:rtl/>
        </w:rPr>
      </w:pPr>
      <w:r w:rsidRPr="000A5E1C">
        <w:rPr>
          <w:rFonts w:hint="cs"/>
          <w:rtl/>
        </w:rPr>
        <w:t>ת. כן, עשיתי האמת שהספר הוא חדש קצת.</w:t>
      </w:r>
    </w:p>
    <w:p w14:paraId="64F25534" w14:textId="41A5611E" w:rsidR="00F86F14" w:rsidRPr="000A5E1C" w:rsidRDefault="00F86F14" w:rsidP="00661904">
      <w:pPr>
        <w:pStyle w:val="a6"/>
        <w:ind w:left="113"/>
        <w:jc w:val="both"/>
        <w:rPr>
          <w:rtl/>
        </w:rPr>
      </w:pPr>
      <w:r w:rsidRPr="000A5E1C">
        <w:rPr>
          <w:rFonts w:hint="cs"/>
          <w:rtl/>
        </w:rPr>
        <w:t>כ.ה. יואל צור: אז תשמע את השאלה שלי?</w:t>
      </w:r>
    </w:p>
    <w:p w14:paraId="04BA53D2" w14:textId="5C18DC30" w:rsidR="00F86F14" w:rsidRPr="000A5E1C" w:rsidRDefault="00F86F14" w:rsidP="00661904">
      <w:pPr>
        <w:pStyle w:val="a6"/>
        <w:ind w:left="113"/>
        <w:jc w:val="both"/>
        <w:rPr>
          <w:rtl/>
        </w:rPr>
      </w:pPr>
      <w:proofErr w:type="spellStart"/>
      <w:r w:rsidRPr="000A5E1C">
        <w:rPr>
          <w:rFonts w:hint="cs"/>
          <w:rtl/>
        </w:rPr>
        <w:t>ת.בבקשה</w:t>
      </w:r>
      <w:proofErr w:type="spellEnd"/>
    </w:p>
    <w:p w14:paraId="3D72DC9B" w14:textId="43051E1A" w:rsidR="00F86F14" w:rsidRPr="000A5E1C" w:rsidRDefault="00F86F14" w:rsidP="005F1ADD">
      <w:pPr>
        <w:pStyle w:val="a6"/>
        <w:spacing w:before="240" w:after="240" w:line="360" w:lineRule="auto"/>
        <w:ind w:left="284"/>
        <w:jc w:val="both"/>
      </w:pPr>
      <w:r w:rsidRPr="000A5E1C">
        <w:rPr>
          <w:rFonts w:hint="cs"/>
          <w:rtl/>
        </w:rPr>
        <w:t xml:space="preserve">בשלב זה מפנה יו"ר הועדה שאלות למומחה ביחס לטבלאות ולסעיפי הליקוי. חברת הועדה הנכבדה ד"ר הדר ירדני משתתפת גם היא בשיח וחברי הוועדה הנכבדה מבררים עם המומחה אודות חומרת האסטמה והנכות שיש לפסוק בצידה. (שם, עמודים 83 </w:t>
      </w:r>
      <w:r w:rsidRPr="000A5E1C">
        <w:rPr>
          <w:rtl/>
        </w:rPr>
        <w:t>–</w:t>
      </w:r>
      <w:r w:rsidRPr="000A5E1C">
        <w:rPr>
          <w:rFonts w:hint="cs"/>
          <w:rtl/>
        </w:rPr>
        <w:t xml:space="preserve"> 86) </w:t>
      </w:r>
    </w:p>
    <w:p w14:paraId="36751507" w14:textId="29B3287E" w:rsidR="003574D9" w:rsidRPr="000A5E1C" w:rsidRDefault="003574D9" w:rsidP="005F1ADD">
      <w:pPr>
        <w:pStyle w:val="a6"/>
        <w:numPr>
          <w:ilvl w:val="0"/>
          <w:numId w:val="15"/>
        </w:numPr>
        <w:spacing w:line="360" w:lineRule="auto"/>
        <w:ind w:left="284"/>
        <w:jc w:val="both"/>
      </w:pPr>
      <w:r w:rsidRPr="000A5E1C">
        <w:rPr>
          <w:rFonts w:hint="cs"/>
          <w:rtl/>
        </w:rPr>
        <w:t xml:space="preserve">מומחה </w:t>
      </w:r>
      <w:r w:rsidR="00880B87">
        <w:rPr>
          <w:rFonts w:hint="cs"/>
          <w:rtl/>
        </w:rPr>
        <w:t>קצין התגמולים</w:t>
      </w:r>
      <w:r w:rsidRPr="000A5E1C">
        <w:rPr>
          <w:rFonts w:hint="cs"/>
          <w:rtl/>
        </w:rPr>
        <w:t xml:space="preserve"> אשר נחקר על חוות דעתו מתייחס גם לנכות:</w:t>
      </w:r>
    </w:p>
    <w:p w14:paraId="1CF66F06" w14:textId="3B8901B4" w:rsidR="003574D9" w:rsidRPr="000A5E1C" w:rsidRDefault="003574D9" w:rsidP="00661904">
      <w:pPr>
        <w:pStyle w:val="a6"/>
        <w:ind w:left="0"/>
        <w:jc w:val="both"/>
        <w:rPr>
          <w:rtl/>
        </w:rPr>
      </w:pPr>
      <w:r w:rsidRPr="000A5E1C">
        <w:rPr>
          <w:rFonts w:hint="cs"/>
          <w:rtl/>
        </w:rPr>
        <w:t>"...</w:t>
      </w:r>
      <w:proofErr w:type="spellStart"/>
      <w:r w:rsidRPr="000A5E1C">
        <w:rPr>
          <w:rFonts w:hint="cs"/>
          <w:rtl/>
        </w:rPr>
        <w:t>ת.אז</w:t>
      </w:r>
      <w:proofErr w:type="spellEnd"/>
      <w:r w:rsidRPr="000A5E1C">
        <w:rPr>
          <w:rFonts w:hint="cs"/>
          <w:rtl/>
        </w:rPr>
        <w:t xml:space="preserve"> אם אני הייתי צריך להעריך את נכותו אני אומר זה בעצם פחות או יותר מה שאני קבעתי שמדובר בעשרים אחוז זה מה שאני חשבתי.</w:t>
      </w:r>
    </w:p>
    <w:p w14:paraId="030BF1AE" w14:textId="68F162A0" w:rsidR="003574D9" w:rsidRPr="000A5E1C" w:rsidRDefault="003574D9" w:rsidP="00661904">
      <w:pPr>
        <w:pStyle w:val="a6"/>
        <w:ind w:left="0"/>
        <w:jc w:val="both"/>
        <w:rPr>
          <w:rtl/>
        </w:rPr>
      </w:pPr>
      <w:r w:rsidRPr="000A5E1C">
        <w:rPr>
          <w:rFonts w:hint="cs"/>
          <w:rtl/>
        </w:rPr>
        <w:t>ש. עשרים אחוז נכות?</w:t>
      </w:r>
    </w:p>
    <w:p w14:paraId="284B8853" w14:textId="3FEB6640" w:rsidR="003574D9" w:rsidRPr="000A5E1C" w:rsidRDefault="003574D9" w:rsidP="00661904">
      <w:pPr>
        <w:pStyle w:val="a6"/>
        <w:ind w:left="0"/>
        <w:jc w:val="both"/>
        <w:rPr>
          <w:rtl/>
        </w:rPr>
      </w:pPr>
      <w:r w:rsidRPr="000A5E1C">
        <w:rPr>
          <w:rFonts w:hint="cs"/>
          <w:rtl/>
        </w:rPr>
        <w:t>ת. עשרים אחוז נכות לתקופה הזאת, כן.</w:t>
      </w:r>
    </w:p>
    <w:p w14:paraId="59AB97B6" w14:textId="5DE42416" w:rsidR="003574D9" w:rsidRPr="00550717" w:rsidRDefault="003574D9" w:rsidP="00661904">
      <w:pPr>
        <w:pStyle w:val="a6"/>
        <w:ind w:left="0"/>
        <w:jc w:val="both"/>
        <w:rPr>
          <w:b/>
          <w:bCs/>
          <w:rtl/>
        </w:rPr>
      </w:pPr>
      <w:r w:rsidRPr="00550717">
        <w:rPr>
          <w:rFonts w:hint="cs"/>
          <w:b/>
          <w:bCs/>
          <w:rtl/>
        </w:rPr>
        <w:t xml:space="preserve">(שם, עמודים 131 שורות 17 </w:t>
      </w:r>
      <w:r w:rsidRPr="00550717">
        <w:rPr>
          <w:b/>
          <w:bCs/>
          <w:rtl/>
        </w:rPr>
        <w:t>–</w:t>
      </w:r>
      <w:r w:rsidRPr="00550717">
        <w:rPr>
          <w:rFonts w:hint="cs"/>
          <w:b/>
          <w:bCs/>
          <w:rtl/>
        </w:rPr>
        <w:t xml:space="preserve"> 25, עמ' 132).</w:t>
      </w:r>
    </w:p>
    <w:p w14:paraId="18E933B7" w14:textId="540EFFBA" w:rsidR="009E60F9" w:rsidRDefault="009E60F9" w:rsidP="005F1ADD">
      <w:pPr>
        <w:pStyle w:val="a6"/>
        <w:numPr>
          <w:ilvl w:val="0"/>
          <w:numId w:val="15"/>
        </w:numPr>
        <w:spacing w:before="240" w:after="240" w:line="360" w:lineRule="auto"/>
        <w:ind w:left="284" w:hanging="357"/>
        <w:jc w:val="both"/>
      </w:pPr>
      <w:r>
        <w:rPr>
          <w:rFonts w:hint="cs"/>
          <w:rtl/>
        </w:rPr>
        <w:t>מומחה קצין התגמולים אשר קובע את שיעור נכותם של הטוענים לנכות מסכים עם קביעת מומחה המשיב לפיה נכותו של המשיב מחמת שירותו הינה בשיעור של 20%.</w:t>
      </w:r>
    </w:p>
    <w:p w14:paraId="7EE50F2C" w14:textId="67D2B150" w:rsidR="003574D9" w:rsidRDefault="003574D9" w:rsidP="005F1ADD">
      <w:pPr>
        <w:pStyle w:val="a6"/>
        <w:numPr>
          <w:ilvl w:val="0"/>
          <w:numId w:val="15"/>
        </w:numPr>
        <w:spacing w:before="240" w:after="240" w:line="360" w:lineRule="auto"/>
        <w:ind w:left="284" w:hanging="357"/>
        <w:jc w:val="both"/>
      </w:pPr>
      <w:proofErr w:type="spellStart"/>
      <w:r w:rsidRPr="000A5E1C">
        <w:rPr>
          <w:rFonts w:hint="cs"/>
          <w:rtl/>
        </w:rPr>
        <w:t>יצויין</w:t>
      </w:r>
      <w:proofErr w:type="spellEnd"/>
      <w:r w:rsidRPr="000A5E1C">
        <w:rPr>
          <w:rFonts w:hint="cs"/>
          <w:rtl/>
        </w:rPr>
        <w:t xml:space="preserve"> כי מומחה </w:t>
      </w:r>
      <w:r w:rsidR="00880B87">
        <w:rPr>
          <w:rFonts w:hint="cs"/>
          <w:rtl/>
        </w:rPr>
        <w:t>קצין התגמולים</w:t>
      </w:r>
      <w:r w:rsidRPr="000A5E1C">
        <w:rPr>
          <w:rFonts w:hint="cs"/>
          <w:rtl/>
        </w:rPr>
        <w:t xml:space="preserve"> מסתייג ומנסה להתחמק ממתן תשובות ענייניות ולאחר הציטוט לעיל בסעיף 24 נעשה ניסיון על ידו למסמס ולסייג את דבריו בחקירתו החוזרת אולם לבסוף ולאחר התערבות הוועדה הנכבדה, נאלץ להשיב עניינית.</w:t>
      </w:r>
    </w:p>
    <w:p w14:paraId="4651961E" w14:textId="5520D686" w:rsidR="00DB4AF2" w:rsidRDefault="00D57B12" w:rsidP="009B3464">
      <w:pPr>
        <w:pStyle w:val="a6"/>
        <w:numPr>
          <w:ilvl w:val="0"/>
          <w:numId w:val="15"/>
        </w:numPr>
        <w:spacing w:before="240" w:after="240" w:line="360" w:lineRule="auto"/>
        <w:ind w:left="284" w:hanging="357"/>
        <w:jc w:val="both"/>
      </w:pPr>
      <w:r w:rsidRPr="000A5E1C">
        <w:rPr>
          <w:rFonts w:hint="cs"/>
          <w:rtl/>
        </w:rPr>
        <w:t>במסגרת דיון ההוכחות שהתקיים בפני הועדה הנכבדה העלה ב"כ המערער את שאלת הנכות ושיעורה</w:t>
      </w:r>
      <w:r w:rsidR="00DB4AF2" w:rsidRPr="000A5E1C">
        <w:rPr>
          <w:rFonts w:hint="cs"/>
          <w:rtl/>
        </w:rPr>
        <w:t>. גם המערער</w:t>
      </w:r>
      <w:r w:rsidR="009E60F9">
        <w:rPr>
          <w:rFonts w:hint="cs"/>
          <w:rtl/>
        </w:rPr>
        <w:t>,</w:t>
      </w:r>
      <w:r w:rsidR="00DB4AF2" w:rsidRPr="000A5E1C">
        <w:rPr>
          <w:rFonts w:hint="cs"/>
          <w:rtl/>
        </w:rPr>
        <w:t xml:space="preserve"> אשר מודע לפסיקה שאוזכרה לעיל יודע כי </w:t>
      </w:r>
      <w:proofErr w:type="spellStart"/>
      <w:r w:rsidR="00DB4AF2" w:rsidRPr="000A5E1C">
        <w:rPr>
          <w:rFonts w:hint="cs"/>
          <w:rtl/>
        </w:rPr>
        <w:t>לועדה</w:t>
      </w:r>
      <w:proofErr w:type="spellEnd"/>
      <w:r w:rsidR="00DB4AF2" w:rsidRPr="000A5E1C">
        <w:rPr>
          <w:rFonts w:hint="cs"/>
          <w:rtl/>
        </w:rPr>
        <w:t xml:space="preserve"> הנכבדה סמכות ועל כן טרח לחקור את המומחה המשיב על שיעור הנכות המיוחסת למשיב מחמת שירותו.</w:t>
      </w:r>
      <w:r w:rsidR="009B3464">
        <w:rPr>
          <w:rFonts w:hint="cs"/>
          <w:rtl/>
        </w:rPr>
        <w:t xml:space="preserve"> </w:t>
      </w:r>
      <w:r w:rsidR="00DB4AF2" w:rsidRPr="000A5E1C">
        <w:rPr>
          <w:rFonts w:hint="cs"/>
          <w:rtl/>
        </w:rPr>
        <w:t xml:space="preserve">המשיב יוסיף ויטען </w:t>
      </w:r>
      <w:r w:rsidR="001324E5">
        <w:rPr>
          <w:rFonts w:hint="cs"/>
          <w:rtl/>
        </w:rPr>
        <w:t xml:space="preserve">כי אילו לא יתקבלו טענותיו לעיל ביחס לסמכות הועדה, שעה שהעלה קצין התגמולים </w:t>
      </w:r>
      <w:r w:rsidR="00DB4AF2" w:rsidRPr="000A5E1C">
        <w:rPr>
          <w:rFonts w:hint="cs"/>
          <w:rtl/>
        </w:rPr>
        <w:t xml:space="preserve">את נושא הנכות ושיעורה </w:t>
      </w:r>
      <w:r w:rsidR="001324E5">
        <w:rPr>
          <w:rFonts w:hint="cs"/>
          <w:rtl/>
        </w:rPr>
        <w:t xml:space="preserve">במסגרת דיון ההוכחות </w:t>
      </w:r>
      <w:r w:rsidR="00DB4AF2" w:rsidRPr="000A5E1C">
        <w:rPr>
          <w:rFonts w:hint="cs"/>
          <w:rtl/>
        </w:rPr>
        <w:t>קנתה הוועדה סמכות לקבוע את נכותו של המשיב כפי שעשתה בפועל.</w:t>
      </w:r>
    </w:p>
    <w:p w14:paraId="4930DEF7" w14:textId="05AD3A54" w:rsidR="00661904" w:rsidRDefault="00661904" w:rsidP="009B3464">
      <w:pPr>
        <w:pStyle w:val="a6"/>
        <w:numPr>
          <w:ilvl w:val="0"/>
          <w:numId w:val="15"/>
        </w:numPr>
        <w:spacing w:before="240" w:after="240" w:line="360" w:lineRule="auto"/>
        <w:ind w:left="284" w:hanging="357"/>
        <w:jc w:val="both"/>
      </w:pPr>
      <w:r>
        <w:rPr>
          <w:rFonts w:hint="cs"/>
          <w:rtl/>
        </w:rPr>
        <w:t xml:space="preserve">לעניין הפסיקה </w:t>
      </w:r>
      <w:proofErr w:type="spellStart"/>
      <w:r>
        <w:rPr>
          <w:rFonts w:hint="cs"/>
          <w:rtl/>
        </w:rPr>
        <w:t>המצויינת</w:t>
      </w:r>
      <w:proofErr w:type="spellEnd"/>
      <w:r>
        <w:rPr>
          <w:rFonts w:hint="cs"/>
          <w:rtl/>
        </w:rPr>
        <w:t xml:space="preserve"> ע"י המערער בהודעת הערעור יטען המשיב כי הפסיקה המאוזכרת הינה כזאת המאוזכרת על ידו דרך קבע, אולם, אין בה כדי להשליך על המקרה דנן מחמת חוסר </w:t>
      </w:r>
      <w:proofErr w:type="spellStart"/>
      <w:r>
        <w:rPr>
          <w:rFonts w:hint="cs"/>
          <w:rtl/>
        </w:rPr>
        <w:t>הדימיון</w:t>
      </w:r>
      <w:proofErr w:type="spellEnd"/>
      <w:r>
        <w:rPr>
          <w:rFonts w:hint="cs"/>
          <w:rtl/>
        </w:rPr>
        <w:t xml:space="preserve"> בין הנושאים הנידונים. יתרה מכך, הפסיקה המאוזכרת דנה בעיקר ביחסים שבין קצין התגמולים לבין הועדות הרפואיות (מדרג ראשון ועליונה/תקנה 9) ולא לשאלת סמכות ועדת ערעורים שהיא למעשה השאלה היחידה בענייננו.</w:t>
      </w:r>
    </w:p>
    <w:p w14:paraId="7B6684BD" w14:textId="6E53B82F" w:rsidR="000A5E1C" w:rsidRDefault="009B3464" w:rsidP="000A5E1C">
      <w:pPr>
        <w:pStyle w:val="a6"/>
        <w:numPr>
          <w:ilvl w:val="0"/>
          <w:numId w:val="15"/>
        </w:numPr>
        <w:spacing w:line="360" w:lineRule="auto"/>
        <w:ind w:left="281"/>
        <w:jc w:val="both"/>
      </w:pPr>
      <w:r>
        <w:rPr>
          <w:rFonts w:hint="cs"/>
          <w:rtl/>
        </w:rPr>
        <w:t xml:space="preserve">מכל המקובץ יטען המשיב כי הועדה הנכבדה הייתה מוסמכת לקבוע </w:t>
      </w:r>
      <w:r w:rsidR="00B60ABF">
        <w:rPr>
          <w:rFonts w:hint="cs"/>
          <w:rtl/>
        </w:rPr>
        <w:t>את אשר קבעה</w:t>
      </w:r>
      <w:r w:rsidR="001E4D80">
        <w:rPr>
          <w:rFonts w:hint="cs"/>
          <w:rtl/>
        </w:rPr>
        <w:t xml:space="preserve"> בהתחשב בנסיבות המקרה, כי טענות המערער הן בגדר ניסיון נוסף </w:t>
      </w:r>
      <w:r w:rsidR="00B60ABF">
        <w:rPr>
          <w:rFonts w:hint="cs"/>
          <w:rtl/>
        </w:rPr>
        <w:t>להשיג</w:t>
      </w:r>
      <w:r w:rsidR="001E4D80">
        <w:rPr>
          <w:rFonts w:hint="cs"/>
          <w:rtl/>
        </w:rPr>
        <w:t xml:space="preserve"> על שאלה רפואית בכסות של שאלה משפטית ומשאלה הם פני הדברים</w:t>
      </w:r>
      <w:r>
        <w:rPr>
          <w:rFonts w:hint="cs"/>
          <w:rtl/>
        </w:rPr>
        <w:t xml:space="preserve"> </w:t>
      </w:r>
      <w:r w:rsidR="001E4D80">
        <w:rPr>
          <w:rFonts w:hint="cs"/>
          <w:rtl/>
        </w:rPr>
        <w:t>אין מקום להתערב בהחלטת הועדה ו</w:t>
      </w:r>
      <w:r>
        <w:rPr>
          <w:rFonts w:hint="cs"/>
          <w:rtl/>
        </w:rPr>
        <w:t>כי דין הערעור להידחות ויש לחייב את המערער בהוצאות ושכ"ט עו"ד.</w:t>
      </w:r>
    </w:p>
    <w:p w14:paraId="1FBE7E9C" w14:textId="33C374C0" w:rsidR="00B60ABF" w:rsidRDefault="00525C68" w:rsidP="00C96F1F">
      <w:pPr>
        <w:spacing w:line="360" w:lineRule="auto"/>
        <w:jc w:val="both"/>
        <w:rPr>
          <w:b/>
          <w:bCs/>
          <w:rtl/>
        </w:rPr>
      </w:pPr>
      <w:r>
        <w:rPr>
          <w:rFonts w:hint="cs"/>
          <w:rtl/>
        </w:rPr>
        <w:tab/>
      </w:r>
      <w:r>
        <w:rPr>
          <w:rFonts w:hint="cs"/>
          <w:rtl/>
        </w:rPr>
        <w:tab/>
      </w:r>
      <w:r>
        <w:rPr>
          <w:rFonts w:hint="cs"/>
          <w:rtl/>
        </w:rPr>
        <w:tab/>
      </w:r>
      <w:r w:rsidR="00B60ABF">
        <w:rPr>
          <w:rtl/>
        </w:rPr>
        <w:tab/>
      </w:r>
      <w:r w:rsidR="00B60ABF">
        <w:rPr>
          <w:rtl/>
        </w:rPr>
        <w:tab/>
      </w:r>
      <w:r w:rsidR="00B60ABF">
        <w:rPr>
          <w:rtl/>
        </w:rPr>
        <w:tab/>
      </w:r>
      <w:r w:rsidR="00B60ABF">
        <w:rPr>
          <w:rtl/>
        </w:rPr>
        <w:tab/>
      </w:r>
      <w:r w:rsidR="00B60ABF">
        <w:rPr>
          <w:rtl/>
        </w:rPr>
        <w:tab/>
      </w:r>
      <w:r w:rsidR="0062478F" w:rsidRPr="00525C68">
        <w:rPr>
          <w:rFonts w:hint="cs"/>
          <w:b/>
          <w:bCs/>
          <w:rtl/>
        </w:rPr>
        <w:t>אריאל פרייברג</w:t>
      </w:r>
      <w:r w:rsidR="00F12CE0" w:rsidRPr="00525C68">
        <w:rPr>
          <w:b/>
          <w:bCs/>
          <w:rtl/>
        </w:rPr>
        <w:t>, עו"ד</w:t>
      </w:r>
      <w:r w:rsidR="00F12CE0" w:rsidRPr="00525C68">
        <w:rPr>
          <w:rFonts w:hint="cs"/>
          <w:b/>
          <w:bCs/>
          <w:rtl/>
        </w:rPr>
        <w:tab/>
      </w:r>
      <w:r w:rsidR="00F12CE0" w:rsidRPr="00525C68">
        <w:rPr>
          <w:rFonts w:hint="cs"/>
          <w:b/>
          <w:bCs/>
          <w:rtl/>
        </w:rPr>
        <w:tab/>
      </w:r>
    </w:p>
    <w:p w14:paraId="1E9DF5CD" w14:textId="71D5FDDA" w:rsidR="00AA0BEA" w:rsidRPr="00B60ABF" w:rsidRDefault="00F12CE0" w:rsidP="00B60ABF">
      <w:pPr>
        <w:pStyle w:val="a6"/>
        <w:ind w:left="5040" w:firstLine="720"/>
        <w:jc w:val="both"/>
        <w:rPr>
          <w:b/>
          <w:bCs/>
          <w:rtl/>
        </w:rPr>
      </w:pPr>
      <w:r w:rsidRPr="00525C68">
        <w:rPr>
          <w:rFonts w:hint="cs"/>
          <w:b/>
          <w:bCs/>
          <w:rtl/>
        </w:rPr>
        <w:t xml:space="preserve">ב"כ          </w:t>
      </w:r>
      <w:r w:rsidR="008D5AD2">
        <w:rPr>
          <w:rFonts w:hint="cs"/>
          <w:b/>
          <w:bCs/>
          <w:rtl/>
        </w:rPr>
        <w:t>המשיב</w:t>
      </w:r>
    </w:p>
    <w:sectPr w:rsidR="00AA0BEA" w:rsidRPr="00B60ABF" w:rsidSect="000A5E1C">
      <w:headerReference w:type="even" r:id="rId8"/>
      <w:footerReference w:type="even" r:id="rId9"/>
      <w:pgSz w:w="11906" w:h="16838"/>
      <w:pgMar w:top="1440" w:right="1418" w:bottom="1440" w:left="1418"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53640" w14:textId="77777777" w:rsidR="00335A05" w:rsidRDefault="00335A05" w:rsidP="00970E07">
      <w:r>
        <w:separator/>
      </w:r>
    </w:p>
  </w:endnote>
  <w:endnote w:type="continuationSeparator" w:id="0">
    <w:p w14:paraId="2587F624" w14:textId="77777777" w:rsidR="00335A05" w:rsidRDefault="00335A05" w:rsidP="0097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E27BA" w14:textId="77777777" w:rsidR="00AA0BEA" w:rsidRDefault="00AA0BEA" w:rsidP="00AA0BEA">
    <w:pPr>
      <w:pStyle w:val="a5"/>
      <w:jc w:val="center"/>
      <w:rPr>
        <w:rFonts w:ascii="FrankRuehl" w:hAnsi="FrankRuehl" w:cs="FrankRuehl"/>
        <w:rtl/>
      </w:rPr>
    </w:pPr>
    <w:r>
      <w:rPr>
        <w:rFonts w:ascii="FrankRuehl" w:hAnsi="FrankRuehl" w:cs="FrankRuehl"/>
        <w:rtl/>
      </w:rPr>
      <w:fldChar w:fldCharType="begin"/>
    </w:r>
    <w:r>
      <w:rPr>
        <w:rFonts w:ascii="FrankRuehl" w:hAnsi="FrankRuehl" w:cs="FrankRuehl"/>
        <w:rtl/>
      </w:rPr>
      <w:instrText xml:space="preserve"> </w:instrText>
    </w:r>
    <w:r>
      <w:rPr>
        <w:rFonts w:ascii="FrankRuehl" w:hAnsi="FrankRuehl" w:cs="FrankRuehl"/>
      </w:rPr>
      <w:instrText>PAGE</w:instrText>
    </w:r>
    <w:r>
      <w:rPr>
        <w:rFonts w:ascii="FrankRuehl" w:hAnsi="FrankRuehl" w:cs="FrankRuehl"/>
        <w:rtl/>
      </w:rPr>
      <w:instrText xml:space="preserve">  \* </w:instrText>
    </w:r>
    <w:r>
      <w:rPr>
        <w:rFonts w:ascii="FrankRuehl" w:hAnsi="FrankRuehl" w:cs="FrankRuehl"/>
      </w:rPr>
      <w:instrText>MERGEFORMAT</w:instrText>
    </w:r>
    <w:r>
      <w:rPr>
        <w:rFonts w:ascii="FrankRuehl" w:hAnsi="FrankRuehl" w:cs="FrankRuehl"/>
        <w:rtl/>
      </w:rPr>
      <w:instrText xml:space="preserve"> </w:instrText>
    </w:r>
    <w:r>
      <w:rPr>
        <w:rFonts w:ascii="FrankRuehl" w:hAnsi="FrankRuehl" w:cs="FrankRuehl"/>
        <w:rtl/>
      </w:rPr>
      <w:fldChar w:fldCharType="separate"/>
    </w:r>
    <w:r>
      <w:rPr>
        <w:rFonts w:ascii="FrankRuehl" w:hAnsi="FrankRuehl" w:cs="FrankRuehl"/>
        <w:noProof/>
        <w:rtl/>
      </w:rPr>
      <w:t>1</w:t>
    </w:r>
    <w:r>
      <w:rPr>
        <w:rFonts w:ascii="FrankRuehl" w:hAnsi="FrankRuehl" w:cs="FrankRuehl"/>
        <w:rtl/>
      </w:rPr>
      <w:fldChar w:fldCharType="end"/>
    </w:r>
  </w:p>
  <w:p w14:paraId="61E6DAF7" w14:textId="77777777" w:rsidR="00AA0BEA" w:rsidRDefault="00AA0BEA" w:rsidP="00AA0BEA">
    <w:pPr>
      <w:pStyle w:val="a5"/>
      <w:pBdr>
        <w:top w:val="single" w:sz="4" w:space="1" w:color="auto"/>
        <w:between w:val="single" w:sz="4" w:space="0" w:color="auto"/>
      </w:pBdr>
      <w:spacing w:after="60"/>
      <w:jc w:val="center"/>
      <w:rPr>
        <w:rFonts w:cs="Times New Roman"/>
        <w:color w:val="000000"/>
        <w:sz w:val="28"/>
        <w:szCs w:val="22"/>
        <w:rtl/>
      </w:rPr>
    </w:pPr>
    <w:r>
      <w:rPr>
        <w:rFonts w:cs="Times New Roman"/>
        <w:color w:val="000000"/>
        <w:sz w:val="28"/>
        <w:szCs w:val="22"/>
        <w:rtl/>
      </w:rPr>
      <w:t xml:space="preserve">נבו הוצאה לאור בע"מ  </w:t>
    </w:r>
    <w:r>
      <w:rPr>
        <w:rFonts w:cs="Times New Roman"/>
        <w:color w:val="000000"/>
        <w:sz w:val="28"/>
        <w:szCs w:val="22"/>
      </w:rPr>
      <w:t>nevo.co.il</w:t>
    </w:r>
    <w:r>
      <w:rPr>
        <w:rFonts w:cs="Times New Roman"/>
        <w:color w:val="000000"/>
        <w:sz w:val="28"/>
        <w:szCs w:val="22"/>
        <w:rtl/>
      </w:rPr>
      <w:t xml:space="preserve">   המאגר המשפטי הישראלי</w:t>
    </w:r>
  </w:p>
  <w:p w14:paraId="706B321C" w14:textId="3784CBD7" w:rsidR="00AA0BEA" w:rsidRPr="00AA0BEA" w:rsidRDefault="00AA0BEA" w:rsidP="00AA0BEA">
    <w:pPr>
      <w:pStyle w:val="a5"/>
      <w:pBdr>
        <w:top w:val="single" w:sz="4" w:space="1" w:color="auto"/>
        <w:between w:val="single" w:sz="4" w:space="0" w:color="auto"/>
      </w:pBdr>
      <w:rPr>
        <w:rFonts w:cs="Times New Roman"/>
        <w:color w:val="000000"/>
        <w:sz w:val="14"/>
        <w:szCs w:val="14"/>
      </w:rPr>
    </w:pPr>
    <w:r>
      <w:rPr>
        <w:rFonts w:cs="Times New Roman"/>
        <w:color w:val="000000"/>
        <w:sz w:val="14"/>
        <w:szCs w:val="14"/>
        <w:rtl/>
      </w:rPr>
      <w:fldChar w:fldCharType="begin"/>
    </w:r>
    <w:r>
      <w:rPr>
        <w:rFonts w:cs="Times New Roman"/>
        <w:color w:val="000000"/>
        <w:sz w:val="14"/>
        <w:szCs w:val="14"/>
        <w:rtl/>
      </w:rPr>
      <w:instrText xml:space="preserve"> </w:instrText>
    </w:r>
    <w:r>
      <w:rPr>
        <w:rFonts w:cs="Times New Roman"/>
        <w:color w:val="000000"/>
        <w:sz w:val="14"/>
        <w:szCs w:val="14"/>
      </w:rPr>
      <w:instrText>FILENAME \p  \* MERGEFORMAT</w:instrText>
    </w:r>
    <w:r>
      <w:rPr>
        <w:rFonts w:cs="Times New Roman"/>
        <w:color w:val="000000"/>
        <w:sz w:val="14"/>
        <w:szCs w:val="14"/>
        <w:rtl/>
      </w:rPr>
      <w:instrText xml:space="preserve"> </w:instrText>
    </w:r>
    <w:r>
      <w:rPr>
        <w:rFonts w:cs="Times New Roman"/>
        <w:color w:val="000000"/>
        <w:sz w:val="14"/>
        <w:szCs w:val="14"/>
        <w:rtl/>
      </w:rPr>
      <w:fldChar w:fldCharType="separate"/>
    </w:r>
    <w:r w:rsidR="00D91EEF">
      <w:rPr>
        <w:rFonts w:cs="Times New Roman"/>
        <w:noProof/>
        <w:color w:val="000000"/>
        <w:sz w:val="14"/>
        <w:szCs w:val="14"/>
        <w:rtl/>
      </w:rPr>
      <w:t>\\</w:t>
    </w:r>
    <w:r w:rsidR="00D91EEF">
      <w:rPr>
        <w:rFonts w:cs="Times New Roman"/>
        <w:noProof/>
        <w:color w:val="000000"/>
        <w:sz w:val="14"/>
        <w:szCs w:val="14"/>
      </w:rPr>
      <w:t>SRV-OD3\odlight_1830$\Docs</w:t>
    </w:r>
    <w:r w:rsidR="00D91EEF">
      <w:rPr>
        <w:rFonts w:cs="Times New Roman"/>
        <w:noProof/>
        <w:color w:val="000000"/>
        <w:sz w:val="14"/>
        <w:szCs w:val="14"/>
        <w:rtl/>
      </w:rPr>
      <w:t>\(119)טלמור דורון\(119_2)קצין התגמולים נ טלמור\(9)תשובת המשיב לערעור.</w:t>
    </w:r>
    <w:r w:rsidR="00D91EEF">
      <w:rPr>
        <w:rFonts w:cs="Times New Roman"/>
        <w:noProof/>
        <w:color w:val="000000"/>
        <w:sz w:val="14"/>
        <w:szCs w:val="14"/>
      </w:rPr>
      <w:t>docx</w:t>
    </w:r>
    <w:r>
      <w:rPr>
        <w:rFonts w:cs="Times New Roman"/>
        <w:color w:val="000000"/>
        <w:sz w:val="14"/>
        <w:szCs w:val="14"/>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D7871" w14:textId="77777777" w:rsidR="00335A05" w:rsidRDefault="00335A05" w:rsidP="00970E07">
      <w:r>
        <w:separator/>
      </w:r>
    </w:p>
  </w:footnote>
  <w:footnote w:type="continuationSeparator" w:id="0">
    <w:p w14:paraId="27758B94" w14:textId="77777777" w:rsidR="00335A05" w:rsidRDefault="00335A05" w:rsidP="00970E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2A1F9" w14:textId="77777777" w:rsidR="00AA0BEA" w:rsidRPr="00AA0BEA" w:rsidRDefault="00AA0BEA" w:rsidP="00AA0BEA">
    <w:pPr>
      <w:pStyle w:val="a3"/>
      <w:pBdr>
        <w:bottom w:val="single" w:sz="4" w:space="1" w:color="auto"/>
      </w:pBdr>
      <w:tabs>
        <w:tab w:val="clear" w:pos="4153"/>
        <w:tab w:val="clear" w:pos="8306"/>
        <w:tab w:val="right" w:pos="8311"/>
      </w:tabs>
      <w:spacing w:line="220" w:lineRule="exact"/>
      <w:rPr>
        <w:rFonts w:ascii="David" w:hAnsi="David"/>
        <w:color w:val="000000"/>
        <w:sz w:val="22"/>
        <w:szCs w:val="22"/>
        <w:rtl/>
      </w:rPr>
    </w:pPr>
    <w:r>
      <w:rPr>
        <w:rFonts w:ascii="David" w:hAnsi="David"/>
        <w:color w:val="000000"/>
        <w:sz w:val="22"/>
        <w:szCs w:val="22"/>
        <w:rtl/>
      </w:rPr>
      <w:t xml:space="preserve">ענ (ראשל"צ) 294/03 </w:t>
    </w:r>
    <w:r>
      <w:rPr>
        <w:rFonts w:ascii="David" w:hAnsi="David"/>
        <w:color w:val="000000"/>
        <w:sz w:val="22"/>
        <w:szCs w:val="22"/>
        <w:rtl/>
      </w:rPr>
      <w:tab/>
      <w:t xml:space="preserve"> לוי ניסן נ' משרד הביטחון קצין התגמולים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31484"/>
    <w:multiLevelType w:val="hybridMultilevel"/>
    <w:tmpl w:val="2BCA2B16"/>
    <w:lvl w:ilvl="0" w:tplc="6F5A6E98">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A102B6"/>
    <w:multiLevelType w:val="hybridMultilevel"/>
    <w:tmpl w:val="87507FCC"/>
    <w:lvl w:ilvl="0" w:tplc="D9AA04EE">
      <w:start w:val="3"/>
      <w:numFmt w:val="decimal"/>
      <w:lvlText w:val="%1."/>
      <w:lvlJc w:val="left"/>
      <w:pPr>
        <w:tabs>
          <w:tab w:val="num" w:pos="1717"/>
        </w:tabs>
        <w:ind w:left="1717" w:hanging="480"/>
      </w:pPr>
      <w:rPr>
        <w:rFonts w:hint="default"/>
      </w:rPr>
    </w:lvl>
    <w:lvl w:ilvl="1" w:tplc="04090019" w:tentative="1">
      <w:start w:val="1"/>
      <w:numFmt w:val="lowerLetter"/>
      <w:lvlText w:val="%2."/>
      <w:lvlJc w:val="left"/>
      <w:pPr>
        <w:tabs>
          <w:tab w:val="num" w:pos="2317"/>
        </w:tabs>
        <w:ind w:left="2317" w:hanging="360"/>
      </w:pPr>
    </w:lvl>
    <w:lvl w:ilvl="2" w:tplc="0409001B" w:tentative="1">
      <w:start w:val="1"/>
      <w:numFmt w:val="lowerRoman"/>
      <w:lvlText w:val="%3."/>
      <w:lvlJc w:val="right"/>
      <w:pPr>
        <w:tabs>
          <w:tab w:val="num" w:pos="3037"/>
        </w:tabs>
        <w:ind w:left="3037" w:hanging="180"/>
      </w:pPr>
    </w:lvl>
    <w:lvl w:ilvl="3" w:tplc="0409000F" w:tentative="1">
      <w:start w:val="1"/>
      <w:numFmt w:val="decimal"/>
      <w:lvlText w:val="%4."/>
      <w:lvlJc w:val="left"/>
      <w:pPr>
        <w:tabs>
          <w:tab w:val="num" w:pos="3757"/>
        </w:tabs>
        <w:ind w:left="3757" w:hanging="360"/>
      </w:pPr>
    </w:lvl>
    <w:lvl w:ilvl="4" w:tplc="04090019" w:tentative="1">
      <w:start w:val="1"/>
      <w:numFmt w:val="lowerLetter"/>
      <w:lvlText w:val="%5."/>
      <w:lvlJc w:val="left"/>
      <w:pPr>
        <w:tabs>
          <w:tab w:val="num" w:pos="4477"/>
        </w:tabs>
        <w:ind w:left="4477" w:hanging="360"/>
      </w:pPr>
    </w:lvl>
    <w:lvl w:ilvl="5" w:tplc="0409001B" w:tentative="1">
      <w:start w:val="1"/>
      <w:numFmt w:val="lowerRoman"/>
      <w:lvlText w:val="%6."/>
      <w:lvlJc w:val="right"/>
      <w:pPr>
        <w:tabs>
          <w:tab w:val="num" w:pos="5197"/>
        </w:tabs>
        <w:ind w:left="5197" w:hanging="180"/>
      </w:pPr>
    </w:lvl>
    <w:lvl w:ilvl="6" w:tplc="0409000F" w:tentative="1">
      <w:start w:val="1"/>
      <w:numFmt w:val="decimal"/>
      <w:lvlText w:val="%7."/>
      <w:lvlJc w:val="left"/>
      <w:pPr>
        <w:tabs>
          <w:tab w:val="num" w:pos="5917"/>
        </w:tabs>
        <w:ind w:left="5917" w:hanging="360"/>
      </w:pPr>
    </w:lvl>
    <w:lvl w:ilvl="7" w:tplc="04090019" w:tentative="1">
      <w:start w:val="1"/>
      <w:numFmt w:val="lowerLetter"/>
      <w:lvlText w:val="%8."/>
      <w:lvlJc w:val="left"/>
      <w:pPr>
        <w:tabs>
          <w:tab w:val="num" w:pos="6637"/>
        </w:tabs>
        <w:ind w:left="6637" w:hanging="360"/>
      </w:pPr>
    </w:lvl>
    <w:lvl w:ilvl="8" w:tplc="0409001B" w:tentative="1">
      <w:start w:val="1"/>
      <w:numFmt w:val="lowerRoman"/>
      <w:lvlText w:val="%9."/>
      <w:lvlJc w:val="right"/>
      <w:pPr>
        <w:tabs>
          <w:tab w:val="num" w:pos="7357"/>
        </w:tabs>
        <w:ind w:left="7357" w:hanging="180"/>
      </w:pPr>
    </w:lvl>
  </w:abstractNum>
  <w:abstractNum w:abstractNumId="2" w15:restartNumberingAfterBreak="0">
    <w:nsid w:val="128119B8"/>
    <w:multiLevelType w:val="hybridMultilevel"/>
    <w:tmpl w:val="014E5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94288B"/>
    <w:multiLevelType w:val="hybridMultilevel"/>
    <w:tmpl w:val="7A2A35E0"/>
    <w:lvl w:ilvl="0" w:tplc="6F0800FE">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BF110F"/>
    <w:multiLevelType w:val="hybridMultilevel"/>
    <w:tmpl w:val="B70CC176"/>
    <w:lvl w:ilvl="0" w:tplc="497C8BBC">
      <w:start w:val="1"/>
      <w:numFmt w:val="decimal"/>
      <w:lvlText w:val="%1."/>
      <w:lvlJc w:val="left"/>
      <w:pPr>
        <w:tabs>
          <w:tab w:val="num" w:pos="907"/>
        </w:tabs>
        <w:ind w:left="907" w:hanging="720"/>
      </w:pPr>
      <w:rPr>
        <w:rFonts w:hint="default"/>
      </w:rPr>
    </w:lvl>
    <w:lvl w:ilvl="1" w:tplc="5A56099E">
      <w:start w:val="1"/>
      <w:numFmt w:val="hebrew1"/>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3EA4B1E"/>
    <w:multiLevelType w:val="hybridMultilevel"/>
    <w:tmpl w:val="9DB230F0"/>
    <w:lvl w:ilvl="0" w:tplc="02F005B8">
      <w:start w:val="1"/>
      <w:numFmt w:val="hebrew1"/>
      <w:lvlText w:val="%1."/>
      <w:lvlJc w:val="left"/>
      <w:pPr>
        <w:tabs>
          <w:tab w:val="num" w:pos="1281"/>
        </w:tabs>
        <w:ind w:left="1281" w:hanging="72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6" w15:restartNumberingAfterBreak="0">
    <w:nsid w:val="35250B07"/>
    <w:multiLevelType w:val="hybridMultilevel"/>
    <w:tmpl w:val="DF0A1A1C"/>
    <w:lvl w:ilvl="0" w:tplc="811A4EC2">
      <w:start w:val="1"/>
      <w:numFmt w:val="decimal"/>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abstractNum w:abstractNumId="7" w15:restartNumberingAfterBreak="0">
    <w:nsid w:val="35A374DA"/>
    <w:multiLevelType w:val="hybridMultilevel"/>
    <w:tmpl w:val="9FC49816"/>
    <w:lvl w:ilvl="0" w:tplc="ED183DE4">
      <w:start w:val="2"/>
      <w:numFmt w:val="decimal"/>
      <w:lvlText w:val="%1."/>
      <w:lvlJc w:val="left"/>
      <w:pPr>
        <w:tabs>
          <w:tab w:val="num" w:pos="1506"/>
        </w:tabs>
        <w:ind w:left="1506" w:hanging="360"/>
      </w:pPr>
      <w:rPr>
        <w:rFonts w:hint="default"/>
      </w:rPr>
    </w:lvl>
    <w:lvl w:ilvl="1" w:tplc="04090019" w:tentative="1">
      <w:start w:val="1"/>
      <w:numFmt w:val="lowerLetter"/>
      <w:lvlText w:val="%2."/>
      <w:lvlJc w:val="left"/>
      <w:pPr>
        <w:tabs>
          <w:tab w:val="num" w:pos="2226"/>
        </w:tabs>
        <w:ind w:left="2226" w:hanging="360"/>
      </w:pPr>
    </w:lvl>
    <w:lvl w:ilvl="2" w:tplc="0409001B" w:tentative="1">
      <w:start w:val="1"/>
      <w:numFmt w:val="lowerRoman"/>
      <w:lvlText w:val="%3."/>
      <w:lvlJc w:val="right"/>
      <w:pPr>
        <w:tabs>
          <w:tab w:val="num" w:pos="2946"/>
        </w:tabs>
        <w:ind w:left="2946" w:hanging="180"/>
      </w:pPr>
    </w:lvl>
    <w:lvl w:ilvl="3" w:tplc="0409000F" w:tentative="1">
      <w:start w:val="1"/>
      <w:numFmt w:val="decimal"/>
      <w:lvlText w:val="%4."/>
      <w:lvlJc w:val="left"/>
      <w:pPr>
        <w:tabs>
          <w:tab w:val="num" w:pos="3666"/>
        </w:tabs>
        <w:ind w:left="3666" w:hanging="360"/>
      </w:pPr>
    </w:lvl>
    <w:lvl w:ilvl="4" w:tplc="04090019" w:tentative="1">
      <w:start w:val="1"/>
      <w:numFmt w:val="lowerLetter"/>
      <w:lvlText w:val="%5."/>
      <w:lvlJc w:val="left"/>
      <w:pPr>
        <w:tabs>
          <w:tab w:val="num" w:pos="4386"/>
        </w:tabs>
        <w:ind w:left="4386" w:hanging="360"/>
      </w:pPr>
    </w:lvl>
    <w:lvl w:ilvl="5" w:tplc="0409001B" w:tentative="1">
      <w:start w:val="1"/>
      <w:numFmt w:val="lowerRoman"/>
      <w:lvlText w:val="%6."/>
      <w:lvlJc w:val="right"/>
      <w:pPr>
        <w:tabs>
          <w:tab w:val="num" w:pos="5106"/>
        </w:tabs>
        <w:ind w:left="5106" w:hanging="180"/>
      </w:pPr>
    </w:lvl>
    <w:lvl w:ilvl="6" w:tplc="0409000F" w:tentative="1">
      <w:start w:val="1"/>
      <w:numFmt w:val="decimal"/>
      <w:lvlText w:val="%7."/>
      <w:lvlJc w:val="left"/>
      <w:pPr>
        <w:tabs>
          <w:tab w:val="num" w:pos="5826"/>
        </w:tabs>
        <w:ind w:left="5826" w:hanging="360"/>
      </w:pPr>
    </w:lvl>
    <w:lvl w:ilvl="7" w:tplc="04090019" w:tentative="1">
      <w:start w:val="1"/>
      <w:numFmt w:val="lowerLetter"/>
      <w:lvlText w:val="%8."/>
      <w:lvlJc w:val="left"/>
      <w:pPr>
        <w:tabs>
          <w:tab w:val="num" w:pos="6546"/>
        </w:tabs>
        <w:ind w:left="6546" w:hanging="360"/>
      </w:pPr>
    </w:lvl>
    <w:lvl w:ilvl="8" w:tplc="0409001B" w:tentative="1">
      <w:start w:val="1"/>
      <w:numFmt w:val="lowerRoman"/>
      <w:lvlText w:val="%9."/>
      <w:lvlJc w:val="right"/>
      <w:pPr>
        <w:tabs>
          <w:tab w:val="num" w:pos="7266"/>
        </w:tabs>
        <w:ind w:left="7266" w:hanging="180"/>
      </w:pPr>
    </w:lvl>
  </w:abstractNum>
  <w:abstractNum w:abstractNumId="8" w15:restartNumberingAfterBreak="0">
    <w:nsid w:val="45E062C0"/>
    <w:multiLevelType w:val="hybridMultilevel"/>
    <w:tmpl w:val="0ED8CCF2"/>
    <w:lvl w:ilvl="0" w:tplc="977009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B271F7D"/>
    <w:multiLevelType w:val="hybridMultilevel"/>
    <w:tmpl w:val="8ADCB756"/>
    <w:lvl w:ilvl="0" w:tplc="07D4B272">
      <w:start w:val="1"/>
      <w:numFmt w:val="hebrew1"/>
      <w:lvlText w:val="%1."/>
      <w:lvlJc w:val="left"/>
      <w:pPr>
        <w:ind w:left="720" w:hanging="360"/>
      </w:pPr>
      <w:rPr>
        <w:rFonts w:hint="default"/>
        <w:b w:val="0"/>
        <w:bCs/>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8D17A7"/>
    <w:multiLevelType w:val="hybridMultilevel"/>
    <w:tmpl w:val="54AA7366"/>
    <w:lvl w:ilvl="0" w:tplc="0FF812DE">
      <w:start w:val="3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4B25DE2"/>
    <w:multiLevelType w:val="hybridMultilevel"/>
    <w:tmpl w:val="9DEABEA2"/>
    <w:lvl w:ilvl="0" w:tplc="AD82F676">
      <w:start w:val="1"/>
      <w:numFmt w:val="hebrew1"/>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EDC3628"/>
    <w:multiLevelType w:val="hybridMultilevel"/>
    <w:tmpl w:val="D0A86B54"/>
    <w:lvl w:ilvl="0" w:tplc="696CECBE">
      <w:start w:val="1"/>
      <w:numFmt w:val="decimal"/>
      <w:lvlText w:val="%1."/>
      <w:lvlJc w:val="left"/>
      <w:pPr>
        <w:ind w:left="1534" w:hanging="360"/>
      </w:pPr>
      <w:rPr>
        <w:rFonts w:hint="default"/>
      </w:rPr>
    </w:lvl>
    <w:lvl w:ilvl="1" w:tplc="04090019">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13" w15:restartNumberingAfterBreak="0">
    <w:nsid w:val="786B62AD"/>
    <w:multiLevelType w:val="hybridMultilevel"/>
    <w:tmpl w:val="8CFE8EAA"/>
    <w:lvl w:ilvl="0" w:tplc="A3BAA172">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F141B2"/>
    <w:multiLevelType w:val="hybridMultilevel"/>
    <w:tmpl w:val="467A259A"/>
    <w:lvl w:ilvl="0" w:tplc="284C509E">
      <w:start w:val="1"/>
      <w:numFmt w:val="hebrew1"/>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num w:numId="1" w16cid:durableId="543758194">
    <w:abstractNumId w:val="4"/>
  </w:num>
  <w:num w:numId="2" w16cid:durableId="1859613539">
    <w:abstractNumId w:val="5"/>
  </w:num>
  <w:num w:numId="3" w16cid:durableId="1332414622">
    <w:abstractNumId w:val="11"/>
  </w:num>
  <w:num w:numId="4" w16cid:durableId="1718894684">
    <w:abstractNumId w:val="3"/>
  </w:num>
  <w:num w:numId="5" w16cid:durableId="220362209">
    <w:abstractNumId w:val="10"/>
  </w:num>
  <w:num w:numId="6" w16cid:durableId="1130785840">
    <w:abstractNumId w:val="0"/>
  </w:num>
  <w:num w:numId="7" w16cid:durableId="1767799232">
    <w:abstractNumId w:val="6"/>
  </w:num>
  <w:num w:numId="8" w16cid:durableId="243490341">
    <w:abstractNumId w:val="14"/>
  </w:num>
  <w:num w:numId="9" w16cid:durableId="701710994">
    <w:abstractNumId w:val="1"/>
  </w:num>
  <w:num w:numId="10" w16cid:durableId="503126471">
    <w:abstractNumId w:val="7"/>
  </w:num>
  <w:num w:numId="11" w16cid:durableId="750080670">
    <w:abstractNumId w:val="13"/>
  </w:num>
  <w:num w:numId="12" w16cid:durableId="149911247">
    <w:abstractNumId w:val="9"/>
  </w:num>
  <w:num w:numId="13" w16cid:durableId="1505625444">
    <w:abstractNumId w:val="12"/>
  </w:num>
  <w:num w:numId="14" w16cid:durableId="1974208443">
    <w:abstractNumId w:val="2"/>
  </w:num>
  <w:num w:numId="15" w16cid:durableId="229459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MyInfo" w:val="This document was extracted from Nevo's site"/>
  </w:docVars>
  <w:rsids>
    <w:rsidRoot w:val="00067DAC"/>
    <w:rsid w:val="00003CD8"/>
    <w:rsid w:val="000178BF"/>
    <w:rsid w:val="00025258"/>
    <w:rsid w:val="00035FA8"/>
    <w:rsid w:val="000422C8"/>
    <w:rsid w:val="000469BE"/>
    <w:rsid w:val="00046D71"/>
    <w:rsid w:val="00062BDD"/>
    <w:rsid w:val="00067DAC"/>
    <w:rsid w:val="00070741"/>
    <w:rsid w:val="000709AE"/>
    <w:rsid w:val="00074692"/>
    <w:rsid w:val="00090903"/>
    <w:rsid w:val="000A5E1C"/>
    <w:rsid w:val="000C08B2"/>
    <w:rsid w:val="000C1199"/>
    <w:rsid w:val="000C1406"/>
    <w:rsid w:val="000E4468"/>
    <w:rsid w:val="000F100D"/>
    <w:rsid w:val="000F2696"/>
    <w:rsid w:val="000F685F"/>
    <w:rsid w:val="00103077"/>
    <w:rsid w:val="001052A1"/>
    <w:rsid w:val="00116DE9"/>
    <w:rsid w:val="0012249A"/>
    <w:rsid w:val="00127081"/>
    <w:rsid w:val="001324E5"/>
    <w:rsid w:val="00132E82"/>
    <w:rsid w:val="00142B3A"/>
    <w:rsid w:val="001574CA"/>
    <w:rsid w:val="001618BD"/>
    <w:rsid w:val="001A2C5A"/>
    <w:rsid w:val="001A4F17"/>
    <w:rsid w:val="001C76B5"/>
    <w:rsid w:val="001D3E55"/>
    <w:rsid w:val="001E4D80"/>
    <w:rsid w:val="001F32B1"/>
    <w:rsid w:val="00206AF6"/>
    <w:rsid w:val="0023175C"/>
    <w:rsid w:val="0023212A"/>
    <w:rsid w:val="002339E2"/>
    <w:rsid w:val="002358BF"/>
    <w:rsid w:val="002554DA"/>
    <w:rsid w:val="00263F55"/>
    <w:rsid w:val="00265A1E"/>
    <w:rsid w:val="002677C2"/>
    <w:rsid w:val="002A45DF"/>
    <w:rsid w:val="002A6627"/>
    <w:rsid w:val="002B1C41"/>
    <w:rsid w:val="002C24B0"/>
    <w:rsid w:val="002D2A16"/>
    <w:rsid w:val="002D2F72"/>
    <w:rsid w:val="002D4BEE"/>
    <w:rsid w:val="002E6764"/>
    <w:rsid w:val="002F7CDE"/>
    <w:rsid w:val="00310A0F"/>
    <w:rsid w:val="003140EA"/>
    <w:rsid w:val="003177E1"/>
    <w:rsid w:val="00324F7C"/>
    <w:rsid w:val="0033108F"/>
    <w:rsid w:val="00331531"/>
    <w:rsid w:val="00334BF5"/>
    <w:rsid w:val="00335A05"/>
    <w:rsid w:val="00335D4C"/>
    <w:rsid w:val="003461F8"/>
    <w:rsid w:val="00356EAD"/>
    <w:rsid w:val="00356F0E"/>
    <w:rsid w:val="003574D9"/>
    <w:rsid w:val="003603A9"/>
    <w:rsid w:val="00365880"/>
    <w:rsid w:val="00371D4B"/>
    <w:rsid w:val="0038405D"/>
    <w:rsid w:val="003848A2"/>
    <w:rsid w:val="0039761E"/>
    <w:rsid w:val="003C1DF8"/>
    <w:rsid w:val="003E02F3"/>
    <w:rsid w:val="003F750D"/>
    <w:rsid w:val="00403098"/>
    <w:rsid w:val="004044F2"/>
    <w:rsid w:val="00405D35"/>
    <w:rsid w:val="004105FB"/>
    <w:rsid w:val="00421091"/>
    <w:rsid w:val="004336CD"/>
    <w:rsid w:val="0043600A"/>
    <w:rsid w:val="004459D7"/>
    <w:rsid w:val="0048048E"/>
    <w:rsid w:val="004823E2"/>
    <w:rsid w:val="004931C4"/>
    <w:rsid w:val="004A062A"/>
    <w:rsid w:val="004B658F"/>
    <w:rsid w:val="004C36D0"/>
    <w:rsid w:val="004D62E5"/>
    <w:rsid w:val="004D69D8"/>
    <w:rsid w:val="004E305A"/>
    <w:rsid w:val="004E78CB"/>
    <w:rsid w:val="004F3109"/>
    <w:rsid w:val="00506417"/>
    <w:rsid w:val="0051070E"/>
    <w:rsid w:val="00512672"/>
    <w:rsid w:val="00521AF3"/>
    <w:rsid w:val="00525C68"/>
    <w:rsid w:val="005270A8"/>
    <w:rsid w:val="005455D8"/>
    <w:rsid w:val="00550717"/>
    <w:rsid w:val="0056637E"/>
    <w:rsid w:val="00570A0E"/>
    <w:rsid w:val="00575CA4"/>
    <w:rsid w:val="005C15FC"/>
    <w:rsid w:val="005C6D23"/>
    <w:rsid w:val="005D63E8"/>
    <w:rsid w:val="005D6966"/>
    <w:rsid w:val="005F1ADD"/>
    <w:rsid w:val="006072AA"/>
    <w:rsid w:val="00610B36"/>
    <w:rsid w:val="00617277"/>
    <w:rsid w:val="006228D2"/>
    <w:rsid w:val="00623590"/>
    <w:rsid w:val="0062478F"/>
    <w:rsid w:val="00626836"/>
    <w:rsid w:val="00641280"/>
    <w:rsid w:val="00642060"/>
    <w:rsid w:val="006433D9"/>
    <w:rsid w:val="00661904"/>
    <w:rsid w:val="006717AB"/>
    <w:rsid w:val="00674CB0"/>
    <w:rsid w:val="00691314"/>
    <w:rsid w:val="006944DE"/>
    <w:rsid w:val="00697A06"/>
    <w:rsid w:val="006A0993"/>
    <w:rsid w:val="006B01CA"/>
    <w:rsid w:val="006B3CC7"/>
    <w:rsid w:val="006C4AF1"/>
    <w:rsid w:val="006C62D1"/>
    <w:rsid w:val="006D4B34"/>
    <w:rsid w:val="006F12A3"/>
    <w:rsid w:val="00703503"/>
    <w:rsid w:val="00704082"/>
    <w:rsid w:val="00725268"/>
    <w:rsid w:val="00725317"/>
    <w:rsid w:val="00732D48"/>
    <w:rsid w:val="00775FDD"/>
    <w:rsid w:val="00782B1A"/>
    <w:rsid w:val="007924DA"/>
    <w:rsid w:val="007930A3"/>
    <w:rsid w:val="00794863"/>
    <w:rsid w:val="00796D63"/>
    <w:rsid w:val="007A44AD"/>
    <w:rsid w:val="007B2916"/>
    <w:rsid w:val="007B46CA"/>
    <w:rsid w:val="007C0B68"/>
    <w:rsid w:val="007C770F"/>
    <w:rsid w:val="007D2632"/>
    <w:rsid w:val="007D7107"/>
    <w:rsid w:val="007E76E7"/>
    <w:rsid w:val="007F1FED"/>
    <w:rsid w:val="007F5BD6"/>
    <w:rsid w:val="008017A4"/>
    <w:rsid w:val="00801876"/>
    <w:rsid w:val="008241BB"/>
    <w:rsid w:val="0082758C"/>
    <w:rsid w:val="00832F85"/>
    <w:rsid w:val="00835E2C"/>
    <w:rsid w:val="00864887"/>
    <w:rsid w:val="0086600A"/>
    <w:rsid w:val="00880B87"/>
    <w:rsid w:val="008839B1"/>
    <w:rsid w:val="00887FC0"/>
    <w:rsid w:val="008942EA"/>
    <w:rsid w:val="008B1836"/>
    <w:rsid w:val="008C5A45"/>
    <w:rsid w:val="008C6646"/>
    <w:rsid w:val="008D5AD2"/>
    <w:rsid w:val="008D6F4A"/>
    <w:rsid w:val="008F2304"/>
    <w:rsid w:val="008F3F57"/>
    <w:rsid w:val="008F61BB"/>
    <w:rsid w:val="008F638A"/>
    <w:rsid w:val="008F746D"/>
    <w:rsid w:val="00900427"/>
    <w:rsid w:val="00900978"/>
    <w:rsid w:val="00905010"/>
    <w:rsid w:val="0090615B"/>
    <w:rsid w:val="00941962"/>
    <w:rsid w:val="00957D4A"/>
    <w:rsid w:val="00961B2B"/>
    <w:rsid w:val="00961D28"/>
    <w:rsid w:val="00963389"/>
    <w:rsid w:val="00963F8D"/>
    <w:rsid w:val="00970E07"/>
    <w:rsid w:val="00974CA1"/>
    <w:rsid w:val="009939DD"/>
    <w:rsid w:val="009A3E44"/>
    <w:rsid w:val="009B3464"/>
    <w:rsid w:val="009C4CD9"/>
    <w:rsid w:val="009D0117"/>
    <w:rsid w:val="009E01D3"/>
    <w:rsid w:val="009E1F2D"/>
    <w:rsid w:val="009E60F9"/>
    <w:rsid w:val="009F59C6"/>
    <w:rsid w:val="00A06F26"/>
    <w:rsid w:val="00A27980"/>
    <w:rsid w:val="00A30ADE"/>
    <w:rsid w:val="00A5175A"/>
    <w:rsid w:val="00A6436F"/>
    <w:rsid w:val="00AA0BEA"/>
    <w:rsid w:val="00AA5A73"/>
    <w:rsid w:val="00AB50D7"/>
    <w:rsid w:val="00AB5900"/>
    <w:rsid w:val="00AC1E6C"/>
    <w:rsid w:val="00AD5908"/>
    <w:rsid w:val="00AD6499"/>
    <w:rsid w:val="00AE0511"/>
    <w:rsid w:val="00AF49F8"/>
    <w:rsid w:val="00AF62F4"/>
    <w:rsid w:val="00B1238E"/>
    <w:rsid w:val="00B15402"/>
    <w:rsid w:val="00B25E0A"/>
    <w:rsid w:val="00B308F4"/>
    <w:rsid w:val="00B30EDA"/>
    <w:rsid w:val="00B44637"/>
    <w:rsid w:val="00B5359C"/>
    <w:rsid w:val="00B60ABF"/>
    <w:rsid w:val="00B60D0E"/>
    <w:rsid w:val="00B63C8C"/>
    <w:rsid w:val="00B91E3D"/>
    <w:rsid w:val="00B96425"/>
    <w:rsid w:val="00B9646F"/>
    <w:rsid w:val="00BA515D"/>
    <w:rsid w:val="00BB097A"/>
    <w:rsid w:val="00BC2920"/>
    <w:rsid w:val="00BC2A19"/>
    <w:rsid w:val="00BC3853"/>
    <w:rsid w:val="00BC6B48"/>
    <w:rsid w:val="00BD173F"/>
    <w:rsid w:val="00BD710C"/>
    <w:rsid w:val="00BE4BB9"/>
    <w:rsid w:val="00BE70E0"/>
    <w:rsid w:val="00BF167A"/>
    <w:rsid w:val="00C10FDB"/>
    <w:rsid w:val="00C275CE"/>
    <w:rsid w:val="00C30290"/>
    <w:rsid w:val="00C5211C"/>
    <w:rsid w:val="00C523E4"/>
    <w:rsid w:val="00C55EC3"/>
    <w:rsid w:val="00C57E20"/>
    <w:rsid w:val="00C95CA0"/>
    <w:rsid w:val="00C96F1F"/>
    <w:rsid w:val="00CA32CB"/>
    <w:rsid w:val="00CA4054"/>
    <w:rsid w:val="00CB0F50"/>
    <w:rsid w:val="00CC0CE4"/>
    <w:rsid w:val="00CC23F8"/>
    <w:rsid w:val="00CD5393"/>
    <w:rsid w:val="00D17B25"/>
    <w:rsid w:val="00D27C24"/>
    <w:rsid w:val="00D41CB1"/>
    <w:rsid w:val="00D57B12"/>
    <w:rsid w:val="00D83021"/>
    <w:rsid w:val="00D84A62"/>
    <w:rsid w:val="00D91EEF"/>
    <w:rsid w:val="00DA1A85"/>
    <w:rsid w:val="00DB3DE6"/>
    <w:rsid w:val="00DB456E"/>
    <w:rsid w:val="00DB4AF2"/>
    <w:rsid w:val="00DB79E6"/>
    <w:rsid w:val="00DD6326"/>
    <w:rsid w:val="00DE5EAA"/>
    <w:rsid w:val="00E218AB"/>
    <w:rsid w:val="00E3354C"/>
    <w:rsid w:val="00E42CCA"/>
    <w:rsid w:val="00EC3D74"/>
    <w:rsid w:val="00ED0772"/>
    <w:rsid w:val="00ED26DE"/>
    <w:rsid w:val="00EE330F"/>
    <w:rsid w:val="00EF2B3F"/>
    <w:rsid w:val="00EF2D21"/>
    <w:rsid w:val="00EF2F8F"/>
    <w:rsid w:val="00F01C99"/>
    <w:rsid w:val="00F056EB"/>
    <w:rsid w:val="00F12CE0"/>
    <w:rsid w:val="00F205C2"/>
    <w:rsid w:val="00F26250"/>
    <w:rsid w:val="00F26A6E"/>
    <w:rsid w:val="00F36883"/>
    <w:rsid w:val="00F51BD7"/>
    <w:rsid w:val="00F65DC6"/>
    <w:rsid w:val="00F80F81"/>
    <w:rsid w:val="00F8344E"/>
    <w:rsid w:val="00F86F14"/>
    <w:rsid w:val="00F9106B"/>
    <w:rsid w:val="00F944A6"/>
    <w:rsid w:val="00FA452F"/>
    <w:rsid w:val="00FA4634"/>
    <w:rsid w:val="00FB2242"/>
    <w:rsid w:val="00FB28A3"/>
    <w:rsid w:val="00FC7CCF"/>
    <w:rsid w:val="00FD3E74"/>
    <w:rsid w:val="00FE4B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42A01E4"/>
  <w15:docId w15:val="{D9CEF102-B7EE-4775-A6C4-C46DE535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2CE0"/>
    <w:pPr>
      <w:bidi/>
    </w:pPr>
    <w:rPr>
      <w:rFonts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
    <w:name w:val="רגיל-דוד"/>
    <w:rsid w:val="00F12CE0"/>
    <w:pPr>
      <w:autoSpaceDE w:val="0"/>
      <w:autoSpaceDN w:val="0"/>
      <w:adjustRightInd w:val="0"/>
    </w:pPr>
    <w:rPr>
      <w:rFonts w:cs="QDavid"/>
      <w:sz w:val="24"/>
      <w:szCs w:val="24"/>
    </w:rPr>
  </w:style>
  <w:style w:type="paragraph" w:styleId="a3">
    <w:name w:val="header"/>
    <w:basedOn w:val="a"/>
    <w:rsid w:val="000F100D"/>
    <w:pPr>
      <w:tabs>
        <w:tab w:val="center" w:pos="4153"/>
        <w:tab w:val="right" w:pos="8306"/>
      </w:tabs>
    </w:pPr>
  </w:style>
  <w:style w:type="character" w:styleId="a4">
    <w:name w:val="page number"/>
    <w:basedOn w:val="a0"/>
    <w:rsid w:val="000F100D"/>
  </w:style>
  <w:style w:type="paragraph" w:styleId="a5">
    <w:name w:val="footer"/>
    <w:basedOn w:val="a"/>
    <w:rsid w:val="00AA0BEA"/>
    <w:pPr>
      <w:tabs>
        <w:tab w:val="center" w:pos="4320"/>
        <w:tab w:val="right" w:pos="8640"/>
      </w:tabs>
    </w:pPr>
  </w:style>
  <w:style w:type="character" w:styleId="Hyperlink">
    <w:name w:val="Hyperlink"/>
    <w:rsid w:val="00142B3A"/>
    <w:rPr>
      <w:color w:val="0000FF"/>
      <w:u w:val="single"/>
    </w:rPr>
  </w:style>
  <w:style w:type="paragraph" w:styleId="a6">
    <w:name w:val="List Paragraph"/>
    <w:basedOn w:val="a"/>
    <w:uiPriority w:val="34"/>
    <w:qFormat/>
    <w:rsid w:val="006B3CC7"/>
    <w:pPr>
      <w:ind w:left="720"/>
    </w:pPr>
  </w:style>
  <w:style w:type="paragraph" w:styleId="a7">
    <w:name w:val="footnote text"/>
    <w:basedOn w:val="a"/>
    <w:link w:val="a8"/>
    <w:rsid w:val="00DA1A85"/>
    <w:rPr>
      <w:sz w:val="20"/>
      <w:szCs w:val="20"/>
    </w:rPr>
  </w:style>
  <w:style w:type="character" w:customStyle="1" w:styleId="a8">
    <w:name w:val="טקסט הערת שוליים תו"/>
    <w:basedOn w:val="a0"/>
    <w:link w:val="a7"/>
    <w:rsid w:val="00DA1A85"/>
    <w:rPr>
      <w:rFonts w:cs="David"/>
    </w:rPr>
  </w:style>
  <w:style w:type="character" w:styleId="a9">
    <w:name w:val="footnote reference"/>
    <w:basedOn w:val="a0"/>
    <w:rsid w:val="00DA1A85"/>
    <w:rPr>
      <w:vertAlign w:val="superscript"/>
    </w:rPr>
  </w:style>
  <w:style w:type="paragraph" w:styleId="aa">
    <w:name w:val="Balloon Text"/>
    <w:basedOn w:val="a"/>
    <w:link w:val="ab"/>
    <w:rsid w:val="000F685F"/>
    <w:rPr>
      <w:rFonts w:ascii="Tahoma" w:hAnsi="Tahoma" w:cs="Tahoma"/>
      <w:sz w:val="16"/>
      <w:szCs w:val="16"/>
    </w:rPr>
  </w:style>
  <w:style w:type="character" w:customStyle="1" w:styleId="ab">
    <w:name w:val="טקסט בלונים תו"/>
    <w:basedOn w:val="a0"/>
    <w:link w:val="aa"/>
    <w:rsid w:val="000F68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17688-4E3B-4256-8EC4-389DD4BEE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3915</TotalTime>
  <Pages>5</Pages>
  <Words>1913</Words>
  <Characters>9566</Characters>
  <Application>Microsoft Office Word</Application>
  <DocSecurity>0</DocSecurity>
  <Lines>79</Lines>
  <Paragraphs>22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ariel f</cp:lastModifiedBy>
  <cp:revision>25</cp:revision>
  <cp:lastPrinted>2023-07-17T14:54:00Z</cp:lastPrinted>
  <dcterms:created xsi:type="dcterms:W3CDTF">2023-09-03T09:26:00Z</dcterms:created>
  <dcterms:modified xsi:type="dcterms:W3CDTF">2023-09-12T15:05:00Z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-1359179781</vt:i4>
  </property>
  <property fmtid="{D5CDD505-2E9C-101B-9397-08002B2CF9AE}" pid="3" name="_EmailSubject">
    <vt:lpwstr/>
  </property>
  <property fmtid="{D5CDD505-2E9C-101B-9397-08002B2CF9AE}" pid="4" name="_AuthorEmail">
    <vt:lpwstr>avital@zenoulaw.co.il</vt:lpwstr>
  </property>
  <property fmtid="{D5CDD505-2E9C-101B-9397-08002B2CF9AE}" pid="5" name="_AuthorEmailDisplayName">
    <vt:lpwstr>Avital</vt:lpwstr>
  </property>
  <property fmtid="{D5CDD505-2E9C-101B-9397-08002B2CF9AE}" pid="6" name="_ReviewingToolsShownOnce">
    <vt:lpwstr/>
  </property>
  <property fmtid="{D5CDD505-2E9C-101B-9397-08002B2CF9AE}" pid="7" name="WORDNUMPAGES">
    <vt:lpwstr>12</vt:lpwstr>
  </property>
  <property fmtid="{D5CDD505-2E9C-101B-9397-08002B2CF9AE}" pid="8" name="PROCESS">
    <vt:lpwstr>ענ</vt:lpwstr>
  </property>
  <property fmtid="{D5CDD505-2E9C-101B-9397-08002B2CF9AE}" pid="9" name="PROCNUM">
    <vt:lpwstr>294</vt:lpwstr>
  </property>
  <property fmtid="{D5CDD505-2E9C-101B-9397-08002B2CF9AE}" pid="10" name="PROCYEAR">
    <vt:lpwstr>03</vt:lpwstr>
  </property>
  <property fmtid="{D5CDD505-2E9C-101B-9397-08002B2CF9AE}" pid="11" name="JUDGE">
    <vt:lpwstr>שילה</vt:lpwstr>
  </property>
  <property fmtid="{D5CDD505-2E9C-101B-9397-08002B2CF9AE}" pid="12" name="CITY">
    <vt:lpwstr>ראשל"צ</vt:lpwstr>
  </property>
  <property fmtid="{D5CDD505-2E9C-101B-9397-08002B2CF9AE}" pid="13" name="APPELLANT">
    <vt:lpwstr>לוי ניסן</vt:lpwstr>
  </property>
  <property fmtid="{D5CDD505-2E9C-101B-9397-08002B2CF9AE}" pid="14" name="APPELLEE">
    <vt:lpwstr>משרד הביטחון קצין התגמולים</vt:lpwstr>
  </property>
  <property fmtid="{D5CDD505-2E9C-101B-9397-08002B2CF9AE}" pid="15" name="PSAKDIN">
    <vt:lpwstr>כתב ערעור</vt:lpwstr>
  </property>
  <property fmtid="{D5CDD505-2E9C-101B-9397-08002B2CF9AE}" pid="16" name="LAWYER">
    <vt:lpwstr>קורין יצחקי</vt:lpwstr>
  </property>
  <property fmtid="{D5CDD505-2E9C-101B-9397-08002B2CF9AE}" pid="17" name="DATE">
    <vt:lpwstr>20090405</vt:lpwstr>
  </property>
  <property fmtid="{D5CDD505-2E9C-101B-9397-08002B2CF9AE}" pid="18" name="TYPE">
    <vt:lpwstr>9</vt:lpwstr>
  </property>
  <property fmtid="{D5CDD505-2E9C-101B-9397-08002B2CF9AE}" pid="19" name="VOLUME">
    <vt:lpwstr/>
  </property>
  <property fmtid="{D5CDD505-2E9C-101B-9397-08002B2CF9AE}" pid="20" name="PART">
    <vt:lpwstr/>
  </property>
  <property fmtid="{D5CDD505-2E9C-101B-9397-08002B2CF9AE}" pid="21" name="PAGE">
    <vt:lpwstr/>
  </property>
  <property fmtid="{D5CDD505-2E9C-101B-9397-08002B2CF9AE}" pid="22" name="PADIMAIL">
    <vt:lpwstr/>
  </property>
  <property fmtid="{D5CDD505-2E9C-101B-9397-08002B2CF9AE}" pid="23" name="DELEMATA">
    <vt:lpwstr/>
  </property>
  <property fmtid="{D5CDD505-2E9C-101B-9397-08002B2CF9AE}" pid="24" name="LINKK1">
    <vt:lpwstr>http://www.nevo.co.il/Psika_word/shalom/s03000294-374.doc;להחלטה בשלום (30-06-2005)#וע 294/03 לוי ניסן נ' קצין התגמולים#שופטים: שלומית יעקובוביץ, אשכנזי, חפץ#עו''ד: ק. יצחקי</vt:lpwstr>
  </property>
  <property fmtid="{D5CDD505-2E9C-101B-9397-08002B2CF9AE}" pid="25" name="LINKK2">
    <vt:lpwstr>http://www.nevo.co.il/Psika_word/shalom/s03000294-258.doc;להחלטה בשלום (31-12-2006)#וע 294/03 לוי ניסן נ' קצין התגמולים#שופטים: שלומית יעקובוביץ#עו''ד: ק. יצחקי</vt:lpwstr>
  </property>
  <property fmtid="{D5CDD505-2E9C-101B-9397-08002B2CF9AE}" pid="26" name="LINKK3">
    <vt:lpwstr>http://www.nevo.co.il/Psika_word/kitvey/s03000294-b-kt.doc;לתגובה בטענות (05-04-2009)#וע 294/03 לוי ניסן - ב"כ עו"ד קורין יצחקי נ' קצין התגמולים לפי חוק הנכים#שופטים: יעקובוביץ#עו''ד: קורין יצחקי</vt:lpwstr>
  </property>
  <property fmtid="{D5CDD505-2E9C-101B-9397-08002B2CF9AE}" pid="27" name="LINKK4">
    <vt:lpwstr>http://www.nevo.co.il/Psika_word/kitvey/s03000294-kt.doc;לסיכומים בטענות (05-04-2009)#ענ 294/03 לוי ניסן - ב"כ עו"ד קורין יצחקי נ' משרד הביטחון קצין התגמולים#שופטים: יעקובוביץ#עו''ד: קורין יצחקי</vt:lpwstr>
  </property>
  <property fmtid="{D5CDD505-2E9C-101B-9397-08002B2CF9AE}" pid="28" name="LINKK5">
    <vt:lpwstr/>
  </property>
  <property fmtid="{D5CDD505-2E9C-101B-9397-08002B2CF9AE}" pid="29" name="LINKK6">
    <vt:lpwstr/>
  </property>
  <property fmtid="{D5CDD505-2E9C-101B-9397-08002B2CF9AE}" pid="30" name="LINKK7">
    <vt:lpwstr/>
  </property>
  <property fmtid="{D5CDD505-2E9C-101B-9397-08002B2CF9AE}" pid="31" name="LINKK8">
    <vt:lpwstr/>
  </property>
  <property fmtid="{D5CDD505-2E9C-101B-9397-08002B2CF9AE}" pid="32" name="LINKK9">
    <vt:lpwstr/>
  </property>
  <property fmtid="{D5CDD505-2E9C-101B-9397-08002B2CF9AE}" pid="33" name="LINKK10">
    <vt:lpwstr/>
  </property>
  <property fmtid="{D5CDD505-2E9C-101B-9397-08002B2CF9AE}" pid="34" name="LINKK11">
    <vt:lpwstr/>
  </property>
  <property fmtid="{D5CDD505-2E9C-101B-9397-08002B2CF9AE}" pid="35" name="LINKK12">
    <vt:lpwstr/>
  </property>
  <property fmtid="{D5CDD505-2E9C-101B-9397-08002B2CF9AE}" pid="36" name="NEWPROC">
    <vt:lpwstr/>
  </property>
  <property fmtid="{D5CDD505-2E9C-101B-9397-08002B2CF9AE}" pid="37" name="NEWPARTA">
    <vt:lpwstr/>
  </property>
  <property fmtid="{D5CDD505-2E9C-101B-9397-08002B2CF9AE}" pid="38" name="NEWPARTB">
    <vt:lpwstr/>
  </property>
  <property fmtid="{D5CDD505-2E9C-101B-9397-08002B2CF9AE}" pid="39" name="NEWPARTC">
    <vt:lpwstr/>
  </property>
  <property fmtid="{D5CDD505-2E9C-101B-9397-08002B2CF9AE}" pid="40" name="TYPE_N_DATE">
    <vt:lpwstr>28020090405</vt:lpwstr>
  </property>
  <property fmtid="{D5CDD505-2E9C-101B-9397-08002B2CF9AE}" pid="41" name="TYPE_ABS_DATE">
    <vt:lpwstr>280020090405</vt:lpwstr>
  </property>
  <property fmtid="{D5CDD505-2E9C-101B-9397-08002B2CF9AE}" pid="42" name="Creator">
    <vt:lpwstr>OdcanitPlatinum</vt:lpwstr>
  </property>
  <property fmtid="{D5CDD505-2E9C-101B-9397-08002B2CF9AE}" pid="43" name="PlatDBName">
    <vt:lpwstr>odlight_1830</vt:lpwstr>
  </property>
  <property fmtid="{D5CDD505-2E9C-101B-9397-08002B2CF9AE}" pid="44" name="MachineName">
    <vt:lpwstr>DESKTOP-CGFK530</vt:lpwstr>
  </property>
  <property fmtid="{D5CDD505-2E9C-101B-9397-08002B2CF9AE}" pid="45" name="DocCounter">
    <vt:lpwstr>1013679</vt:lpwstr>
  </property>
</Properties>
</file>