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664B3" w14:textId="2F5657D9" w:rsidR="005C6D23"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 xml:space="preserve">בית משפט </w:t>
      </w:r>
      <w:r w:rsidR="001B2A90">
        <w:rPr>
          <w:rFonts w:cs="David" w:hint="cs"/>
          <w:b/>
          <w:bCs/>
          <w:rtl/>
        </w:rPr>
        <w:t>המחוזי</w:t>
      </w:r>
      <w:r w:rsidRPr="008F2304">
        <w:rPr>
          <w:rFonts w:cs="David" w:hint="cs"/>
          <w:b/>
          <w:bCs/>
          <w:rtl/>
        </w:rPr>
        <w:t xml:space="preserve"> </w:t>
      </w:r>
      <w:r w:rsidR="004D62E5">
        <w:rPr>
          <w:rFonts w:cs="David" w:hint="cs"/>
          <w:b/>
          <w:bCs/>
          <w:rtl/>
        </w:rPr>
        <w:tab/>
      </w:r>
      <w:r w:rsidR="004D62E5">
        <w:rPr>
          <w:rFonts w:cs="David" w:hint="cs"/>
          <w:b/>
          <w:bCs/>
          <w:rtl/>
        </w:rPr>
        <w:tab/>
      </w:r>
      <w:r w:rsidR="004D62E5">
        <w:rPr>
          <w:rFonts w:cs="David" w:hint="cs"/>
          <w:b/>
          <w:bCs/>
          <w:rtl/>
        </w:rPr>
        <w:tab/>
      </w:r>
      <w:r w:rsidR="004D62E5">
        <w:rPr>
          <w:rFonts w:cs="David" w:hint="cs"/>
          <w:b/>
          <w:bCs/>
          <w:rtl/>
        </w:rPr>
        <w:tab/>
        <w:t>ע</w:t>
      </w:r>
      <w:r w:rsidR="001B2A90">
        <w:rPr>
          <w:rFonts w:cs="David" w:hint="cs"/>
          <w:b/>
          <w:bCs/>
          <w:rtl/>
        </w:rPr>
        <w:t>"ו 18143-07-23</w:t>
      </w:r>
    </w:p>
    <w:p w14:paraId="41E1FD6B" w14:textId="650F9F84" w:rsidR="00BD710C" w:rsidRPr="008F2304" w:rsidRDefault="001B2A90" w:rsidP="00BB097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u w:val="single"/>
          <w:rtl/>
        </w:rPr>
        <w:t>בירושלים</w:t>
      </w:r>
      <w:r w:rsidRPr="008F2304">
        <w:rPr>
          <w:rFonts w:cs="David" w:hint="cs"/>
          <w:rtl/>
        </w:rPr>
        <w:tab/>
      </w:r>
      <w:r>
        <w:rPr>
          <w:rFonts w:cs="David"/>
          <w:rtl/>
        </w:rPr>
        <w:tab/>
      </w:r>
      <w:r w:rsidR="00610B36">
        <w:rPr>
          <w:rFonts w:cs="David" w:hint="cs"/>
          <w:b/>
          <w:bCs/>
          <w:rtl/>
        </w:rPr>
        <w:tab/>
      </w:r>
      <w:r w:rsidR="00610B36">
        <w:rPr>
          <w:rFonts w:cs="David" w:hint="cs"/>
          <w:b/>
          <w:bCs/>
          <w:rtl/>
        </w:rPr>
        <w:tab/>
      </w:r>
      <w:r w:rsidR="00610B36">
        <w:rPr>
          <w:rFonts w:cs="David" w:hint="cs"/>
          <w:b/>
          <w:bCs/>
          <w:rtl/>
        </w:rPr>
        <w:tab/>
      </w:r>
      <w:r w:rsidR="00BB097A" w:rsidRPr="001C76B5">
        <w:rPr>
          <w:rFonts w:cs="David" w:hint="cs"/>
          <w:b/>
          <w:bCs/>
          <w:u w:val="single"/>
          <w:rtl/>
        </w:rPr>
        <w:t>בפני כב' השופט</w:t>
      </w:r>
      <w:r>
        <w:rPr>
          <w:rFonts w:cs="David" w:hint="cs"/>
          <w:b/>
          <w:bCs/>
          <w:u w:val="single"/>
          <w:rtl/>
        </w:rPr>
        <w:t>ת שושנה ליבוביץ</w:t>
      </w:r>
    </w:p>
    <w:p w14:paraId="15C3DC46" w14:textId="4D9E65B7" w:rsidR="008F2304" w:rsidRPr="00805C1A" w:rsidRDefault="00832F85"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rtl/>
        </w:rPr>
        <w:tab/>
      </w:r>
      <w:r>
        <w:rPr>
          <w:rFonts w:cs="David" w:hint="cs"/>
          <w:rtl/>
        </w:rPr>
        <w:tab/>
      </w:r>
      <w:r>
        <w:rPr>
          <w:rFonts w:cs="David" w:hint="cs"/>
          <w:rtl/>
        </w:rPr>
        <w:tab/>
      </w:r>
      <w:r w:rsidRPr="00805C1A">
        <w:rPr>
          <w:rFonts w:cs="David" w:hint="cs"/>
          <w:rtl/>
        </w:rPr>
        <w:tab/>
      </w:r>
      <w:r w:rsidRPr="00805C1A">
        <w:rPr>
          <w:rFonts w:cs="David" w:hint="cs"/>
          <w:rtl/>
        </w:rPr>
        <w:tab/>
      </w:r>
      <w:r w:rsidRPr="00805C1A">
        <w:rPr>
          <w:rFonts w:cs="David" w:hint="cs"/>
          <w:rtl/>
        </w:rPr>
        <w:tab/>
      </w:r>
    </w:p>
    <w:p w14:paraId="15E61A36" w14:textId="2D2F2F55" w:rsidR="00F12CE0" w:rsidRPr="00805C1A" w:rsidRDefault="00074692"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05C1A">
        <w:rPr>
          <w:rFonts w:cs="David" w:hint="cs"/>
          <w:rtl/>
        </w:rPr>
        <w:t xml:space="preserve">נחתם ונערך ביום </w:t>
      </w:r>
      <w:r w:rsidR="001B2A90" w:rsidRPr="00805C1A">
        <w:rPr>
          <w:rFonts w:cs="David" w:hint="cs"/>
          <w:rtl/>
        </w:rPr>
        <w:t>24.7.23</w:t>
      </w:r>
      <w:r w:rsidR="00F12CE0" w:rsidRPr="00805C1A">
        <w:rPr>
          <w:rFonts w:cs="David" w:hint="cs"/>
          <w:rtl/>
        </w:rPr>
        <w:tab/>
      </w:r>
      <w:r w:rsidR="00F12CE0" w:rsidRPr="00805C1A">
        <w:rPr>
          <w:rFonts w:cs="David" w:hint="cs"/>
          <w:rtl/>
        </w:rPr>
        <w:tab/>
      </w:r>
    </w:p>
    <w:p w14:paraId="6A576F1D" w14:textId="323E3624" w:rsidR="001B2A90" w:rsidRDefault="00805C1A" w:rsidP="000F100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05C1A">
        <w:rPr>
          <w:rFonts w:cs="David" w:hint="cs"/>
          <w:rtl/>
        </w:rPr>
        <w:t>תאריך אחרון להגשה: 27.7.23</w:t>
      </w:r>
    </w:p>
    <w:p w14:paraId="4C2BE98C" w14:textId="77777777" w:rsidR="00805C1A" w:rsidRPr="00805C1A" w:rsidRDefault="00805C1A" w:rsidP="00805C1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p>
    <w:p w14:paraId="374EAA04" w14:textId="4687234A" w:rsidR="001B2A90" w:rsidRDefault="001B2A90" w:rsidP="000178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b/>
          <w:bCs/>
          <w:sz w:val="26"/>
          <w:szCs w:val="26"/>
          <w:rtl/>
        </w:rPr>
      </w:pPr>
      <w:r w:rsidRPr="001B2A90">
        <w:rPr>
          <w:rFonts w:cs="David" w:hint="cs"/>
          <w:b/>
          <w:bCs/>
          <w:u w:val="single"/>
          <w:rtl/>
        </w:rPr>
        <w:t>המערער</w:t>
      </w:r>
      <w:r>
        <w:rPr>
          <w:rFonts w:cs="David" w:hint="cs"/>
          <w:b/>
          <w:bCs/>
          <w:rtl/>
        </w:rPr>
        <w:t>:</w:t>
      </w:r>
      <w:r w:rsidRPr="008F2304">
        <w:rPr>
          <w:rFonts w:cs="David" w:hint="cs"/>
          <w:b/>
          <w:bCs/>
          <w:rtl/>
        </w:rPr>
        <w:tab/>
      </w:r>
      <w:r w:rsidRPr="008F2304">
        <w:rPr>
          <w:rFonts w:cs="David" w:hint="cs"/>
          <w:b/>
          <w:bCs/>
          <w:rtl/>
        </w:rPr>
        <w:tab/>
      </w:r>
      <w:r w:rsidRPr="008F2304">
        <w:rPr>
          <w:rFonts w:cs="David" w:hint="cs"/>
          <w:b/>
          <w:bCs/>
          <w:sz w:val="26"/>
          <w:szCs w:val="26"/>
          <w:rtl/>
        </w:rPr>
        <w:t xml:space="preserve">משרד הביטחון </w:t>
      </w:r>
      <w:r>
        <w:rPr>
          <w:rFonts w:cs="David" w:hint="cs"/>
          <w:b/>
          <w:bCs/>
          <w:sz w:val="26"/>
          <w:szCs w:val="26"/>
          <w:rtl/>
        </w:rPr>
        <w:t xml:space="preserve">- </w:t>
      </w:r>
      <w:r w:rsidRPr="008F2304">
        <w:rPr>
          <w:rFonts w:cs="David" w:hint="cs"/>
          <w:b/>
          <w:bCs/>
          <w:sz w:val="26"/>
          <w:szCs w:val="26"/>
          <w:rtl/>
        </w:rPr>
        <w:t xml:space="preserve">קצין התגמולים </w:t>
      </w:r>
      <w:r>
        <w:rPr>
          <w:rFonts w:cs="David" w:hint="cs"/>
          <w:b/>
          <w:bCs/>
          <w:sz w:val="26"/>
          <w:szCs w:val="26"/>
          <w:rtl/>
        </w:rPr>
        <w:tab/>
      </w:r>
    </w:p>
    <w:p w14:paraId="5FDD264E" w14:textId="686E639B" w:rsidR="001B2A90" w:rsidRDefault="001B2A90" w:rsidP="000178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tl/>
        </w:rPr>
      </w:pPr>
      <w:r>
        <w:rPr>
          <w:rFonts w:cs="David" w:hint="cs"/>
          <w:b/>
          <w:bCs/>
          <w:sz w:val="26"/>
          <w:szCs w:val="26"/>
          <w:rtl/>
        </w:rPr>
        <w:t>המבקש</w:t>
      </w:r>
      <w:r>
        <w:rPr>
          <w:rFonts w:cs="David" w:hint="cs"/>
          <w:b/>
          <w:bCs/>
          <w:sz w:val="26"/>
          <w:szCs w:val="26"/>
          <w:rtl/>
        </w:rPr>
        <w:tab/>
      </w:r>
      <w:r>
        <w:rPr>
          <w:rFonts w:cs="David" w:hint="cs"/>
          <w:b/>
          <w:bCs/>
          <w:sz w:val="26"/>
          <w:szCs w:val="26"/>
          <w:rtl/>
        </w:rPr>
        <w:tab/>
      </w:r>
      <w:r>
        <w:rPr>
          <w:rFonts w:cs="David" w:hint="cs"/>
          <w:sz w:val="26"/>
          <w:szCs w:val="26"/>
          <w:rtl/>
        </w:rPr>
        <w:t>ע"י ב"כ מפרקליטות מחוז ירושלים (אזרחי)</w:t>
      </w:r>
    </w:p>
    <w:p w14:paraId="421369C9" w14:textId="77777777" w:rsidR="001B2A90" w:rsidRDefault="001B2A90" w:rsidP="000178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רח' מח"ל 7, ת.ד. 49333, ירושלים 91493</w:t>
      </w:r>
    </w:p>
    <w:p w14:paraId="7DCE09A0" w14:textId="77777777" w:rsidR="001B2A90" w:rsidRPr="005455D8" w:rsidRDefault="001B2A90" w:rsidP="000178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rtl/>
        </w:rPr>
      </w:pPr>
      <w:r>
        <w:rPr>
          <w:rFonts w:cs="David" w:hint="cs"/>
          <w:sz w:val="26"/>
          <w:szCs w:val="26"/>
          <w:rtl/>
        </w:rPr>
        <w:tab/>
      </w:r>
      <w:r>
        <w:rPr>
          <w:rFonts w:cs="David" w:hint="cs"/>
          <w:sz w:val="26"/>
          <w:szCs w:val="26"/>
          <w:rtl/>
        </w:rPr>
        <w:tab/>
      </w:r>
      <w:r>
        <w:rPr>
          <w:rFonts w:cs="David" w:hint="cs"/>
          <w:sz w:val="26"/>
          <w:szCs w:val="26"/>
          <w:rtl/>
        </w:rPr>
        <w:tab/>
        <w:t>טל': 02-5419566</w:t>
      </w:r>
      <w:r>
        <w:rPr>
          <w:rFonts w:cs="David"/>
          <w:sz w:val="26"/>
          <w:szCs w:val="26"/>
        </w:rPr>
        <w:t>;</w:t>
      </w:r>
      <w:r>
        <w:rPr>
          <w:rFonts w:cs="David" w:hint="cs"/>
          <w:sz w:val="26"/>
          <w:szCs w:val="26"/>
          <w:rtl/>
        </w:rPr>
        <w:t xml:space="preserve"> פקס: 02-5419581</w:t>
      </w:r>
    </w:p>
    <w:p w14:paraId="74FBAF95"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768BD99E" w14:textId="77777777" w:rsidR="00F12CE0"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rPr>
          <w:rFonts w:cs="David"/>
        </w:rPr>
      </w:pPr>
      <w:r w:rsidRPr="008F2304">
        <w:rPr>
          <w:rFonts w:ascii="QDavid" w:cs="David" w:hint="cs"/>
          <w:b/>
          <w:bCs/>
          <w:rtl/>
        </w:rPr>
        <w:tab/>
      </w:r>
      <w:r w:rsidRPr="008F2304">
        <w:rPr>
          <w:rFonts w:ascii="QDavid" w:cs="David" w:hint="cs"/>
          <w:b/>
          <w:bCs/>
          <w:rtl/>
        </w:rPr>
        <w:tab/>
      </w:r>
      <w:r w:rsidRPr="008F2304">
        <w:rPr>
          <w:rFonts w:ascii="QDavid" w:cs="David" w:hint="cs"/>
          <w:b/>
          <w:bCs/>
          <w:rtl/>
        </w:rPr>
        <w:tab/>
      </w:r>
      <w:r w:rsidRPr="008F2304">
        <w:rPr>
          <w:rFonts w:ascii="QDavid" w:cs="David" w:hint="cs"/>
          <w:b/>
          <w:bCs/>
          <w:rtl/>
        </w:rPr>
        <w:tab/>
      </w:r>
      <w:r w:rsidR="00F12CE0" w:rsidRPr="008F2304">
        <w:rPr>
          <w:rFonts w:ascii="QDavid" w:cs="David" w:hint="cs"/>
          <w:b/>
          <w:bCs/>
          <w:rtl/>
        </w:rPr>
        <w:t xml:space="preserve">-  </w:t>
      </w:r>
      <w:r w:rsidR="00F12CE0" w:rsidRPr="008F2304">
        <w:rPr>
          <w:rFonts w:cs="David" w:hint="cs"/>
          <w:b/>
          <w:bCs/>
          <w:rtl/>
        </w:rPr>
        <w:t xml:space="preserve"> </w:t>
      </w:r>
      <w:r w:rsidR="00F12CE0" w:rsidRPr="008F2304">
        <w:rPr>
          <w:rFonts w:cs="David"/>
          <w:b/>
          <w:bCs/>
          <w:rtl/>
        </w:rPr>
        <w:t>נ</w:t>
      </w:r>
      <w:r w:rsidR="00F12CE0" w:rsidRPr="008F2304">
        <w:rPr>
          <w:rFonts w:cs="David" w:hint="cs"/>
          <w:b/>
          <w:bCs/>
          <w:rtl/>
        </w:rPr>
        <w:t xml:space="preserve"> </w:t>
      </w:r>
      <w:r w:rsidR="00F12CE0" w:rsidRPr="008F2304">
        <w:rPr>
          <w:rFonts w:cs="David"/>
          <w:b/>
          <w:bCs/>
          <w:rtl/>
        </w:rPr>
        <w:t xml:space="preserve"> ג</w:t>
      </w:r>
      <w:r w:rsidR="00F12CE0" w:rsidRPr="008F2304">
        <w:rPr>
          <w:rFonts w:cs="David" w:hint="cs"/>
          <w:b/>
          <w:bCs/>
          <w:rtl/>
        </w:rPr>
        <w:t xml:space="preserve"> </w:t>
      </w:r>
      <w:r w:rsidR="00F12CE0" w:rsidRPr="008F2304">
        <w:rPr>
          <w:rFonts w:cs="David"/>
          <w:b/>
          <w:bCs/>
          <w:rtl/>
        </w:rPr>
        <w:t xml:space="preserve"> ד</w:t>
      </w:r>
      <w:r w:rsidR="00F12CE0" w:rsidRPr="008F2304">
        <w:rPr>
          <w:rFonts w:cs="David" w:hint="cs"/>
          <w:b/>
          <w:bCs/>
          <w:rtl/>
        </w:rPr>
        <w:t xml:space="preserve">  -</w:t>
      </w:r>
    </w:p>
    <w:p w14:paraId="2E22BF99" w14:textId="77777777" w:rsidR="00F12CE0" w:rsidRDefault="00F12CE0" w:rsidP="000178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rtl/>
        </w:rPr>
      </w:pPr>
      <w:r w:rsidRPr="008F2304">
        <w:rPr>
          <w:rFonts w:cs="David"/>
        </w:rPr>
        <w:tab/>
      </w:r>
      <w:r w:rsidRPr="008F2304">
        <w:rPr>
          <w:rFonts w:cs="David"/>
        </w:rPr>
        <w:tab/>
      </w:r>
      <w:r w:rsidRPr="008F2304">
        <w:rPr>
          <w:rFonts w:cs="David"/>
        </w:rPr>
        <w:tab/>
      </w:r>
      <w:r w:rsidRPr="008F2304">
        <w:rPr>
          <w:rFonts w:cs="David"/>
        </w:rPr>
        <w:tab/>
      </w:r>
    </w:p>
    <w:p w14:paraId="435A1F05" w14:textId="4C9877D0" w:rsidR="001B2A90" w:rsidRDefault="001B2A90" w:rsidP="00206AF6">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tl/>
        </w:rPr>
      </w:pPr>
      <w:r>
        <w:rPr>
          <w:rFonts w:cs="David" w:hint="cs"/>
          <w:b/>
          <w:bCs/>
          <w:u w:val="single"/>
          <w:rtl/>
        </w:rPr>
        <w:t>המשיב</w:t>
      </w:r>
      <w:r>
        <w:rPr>
          <w:rFonts w:cs="David" w:hint="cs"/>
          <w:b/>
          <w:bCs/>
          <w:rtl/>
        </w:rPr>
        <w:t>:</w:t>
      </w:r>
      <w:r w:rsidRPr="008F2304">
        <w:rPr>
          <w:rFonts w:cs="David"/>
        </w:rPr>
        <w:tab/>
      </w:r>
      <w:r w:rsidRPr="008F2304">
        <w:rPr>
          <w:rFonts w:cs="David" w:hint="cs"/>
          <w:rtl/>
        </w:rPr>
        <w:tab/>
      </w:r>
      <w:r w:rsidRPr="008F2304">
        <w:rPr>
          <w:rFonts w:cs="David" w:hint="cs"/>
          <w:b/>
          <w:bCs/>
          <w:sz w:val="26"/>
          <w:szCs w:val="26"/>
          <w:rtl/>
        </w:rPr>
        <w:t>דורון טלמור, ת.ז. 028638526</w:t>
      </w:r>
      <w:r w:rsidRPr="008F2304">
        <w:rPr>
          <w:rFonts w:cs="David" w:hint="cs"/>
          <w:sz w:val="26"/>
          <w:szCs w:val="26"/>
          <w:rtl/>
        </w:rPr>
        <w:t xml:space="preserve"> </w:t>
      </w:r>
      <w:r w:rsidRPr="008F2304">
        <w:rPr>
          <w:rFonts w:cs="David"/>
          <w:sz w:val="26"/>
          <w:szCs w:val="26"/>
          <w:rtl/>
        </w:rPr>
        <w:t xml:space="preserve"> </w:t>
      </w:r>
    </w:p>
    <w:p w14:paraId="7364E066" w14:textId="4305F468" w:rsidR="001B2A90" w:rsidRPr="000178BF" w:rsidRDefault="001B2A90" w:rsidP="000178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Pr>
      </w:pPr>
      <w:r>
        <w:rPr>
          <w:rFonts w:cs="David"/>
          <w:b/>
          <w:bCs/>
          <w:sz w:val="26"/>
          <w:szCs w:val="26"/>
        </w:rPr>
        <w:tab/>
      </w:r>
      <w:r w:rsidRPr="000178BF">
        <w:rPr>
          <w:rFonts w:cs="David"/>
          <w:sz w:val="26"/>
          <w:szCs w:val="26"/>
        </w:rPr>
        <w:tab/>
      </w:r>
      <w:r w:rsidRPr="000178BF">
        <w:rPr>
          <w:rFonts w:cs="David"/>
          <w:sz w:val="26"/>
          <w:szCs w:val="26"/>
        </w:rPr>
        <w:tab/>
      </w:r>
      <w:r w:rsidRPr="000178BF">
        <w:rPr>
          <w:rFonts w:cs="David"/>
          <w:sz w:val="26"/>
          <w:szCs w:val="26"/>
          <w:rtl/>
        </w:rPr>
        <w:t xml:space="preserve">באמצעות </w:t>
      </w:r>
      <w:r w:rsidRPr="000178BF">
        <w:rPr>
          <w:rFonts w:cs="David" w:hint="cs"/>
          <w:sz w:val="26"/>
          <w:szCs w:val="26"/>
          <w:rtl/>
        </w:rPr>
        <w:t xml:space="preserve">ב"כ </w:t>
      </w:r>
      <w:r w:rsidRPr="000178BF">
        <w:rPr>
          <w:rFonts w:cs="David"/>
          <w:sz w:val="26"/>
          <w:szCs w:val="26"/>
          <w:rtl/>
        </w:rPr>
        <w:t>עו</w:t>
      </w:r>
      <w:r w:rsidRPr="000178BF">
        <w:rPr>
          <w:rFonts w:cs="David" w:hint="cs"/>
          <w:sz w:val="26"/>
          <w:szCs w:val="26"/>
          <w:rtl/>
        </w:rPr>
        <w:t>ה</w:t>
      </w:r>
      <w:r w:rsidRPr="000178BF">
        <w:rPr>
          <w:rFonts w:cs="David"/>
          <w:sz w:val="26"/>
          <w:szCs w:val="26"/>
          <w:rtl/>
        </w:rPr>
        <w:t xml:space="preserve">"ד </w:t>
      </w:r>
      <w:r w:rsidRPr="000178BF">
        <w:rPr>
          <w:rFonts w:cs="David" w:hint="cs"/>
          <w:sz w:val="26"/>
          <w:szCs w:val="26"/>
          <w:rtl/>
        </w:rPr>
        <w:t>אריאל פרייברג ו/או ניצן בן צבי</w:t>
      </w:r>
    </w:p>
    <w:p w14:paraId="0001A43E" w14:textId="77777777" w:rsidR="001B2A90" w:rsidRPr="000178BF" w:rsidRDefault="001B2A90" w:rsidP="000178BF">
      <w:pPr>
        <w:spacing w:line="276" w:lineRule="auto"/>
        <w:ind w:left="934" w:firstLine="506"/>
        <w:rPr>
          <w:sz w:val="26"/>
          <w:szCs w:val="26"/>
          <w:rtl/>
        </w:rPr>
      </w:pPr>
      <w:r w:rsidRPr="000178BF">
        <w:rPr>
          <w:sz w:val="26"/>
          <w:szCs w:val="26"/>
        </w:rPr>
        <w:tab/>
      </w:r>
      <w:r w:rsidRPr="000178BF">
        <w:rPr>
          <w:rFonts w:hint="cs"/>
          <w:sz w:val="26"/>
          <w:szCs w:val="26"/>
          <w:rtl/>
        </w:rPr>
        <w:t xml:space="preserve">מרחוב </w:t>
      </w:r>
      <w:r>
        <w:rPr>
          <w:rFonts w:hint="cs"/>
          <w:sz w:val="26"/>
          <w:szCs w:val="26"/>
          <w:rtl/>
        </w:rPr>
        <w:t>אבא הלל 7, רמת גן</w:t>
      </w:r>
    </w:p>
    <w:p w14:paraId="5A068350" w14:textId="77777777" w:rsidR="001B2A90" w:rsidRPr="000178BF" w:rsidRDefault="001B2A90" w:rsidP="000178BF">
      <w:pPr>
        <w:spacing w:line="276" w:lineRule="auto"/>
        <w:ind w:left="934"/>
        <w:rPr>
          <w:sz w:val="26"/>
          <w:szCs w:val="26"/>
          <w:rtl/>
        </w:rPr>
      </w:pPr>
      <w:r w:rsidRPr="000178BF">
        <w:rPr>
          <w:rFonts w:hint="cs"/>
          <w:sz w:val="26"/>
          <w:szCs w:val="26"/>
          <w:rtl/>
        </w:rPr>
        <w:tab/>
      </w:r>
      <w:r w:rsidRPr="000178BF">
        <w:rPr>
          <w:rFonts w:hint="cs"/>
          <w:sz w:val="26"/>
          <w:szCs w:val="26"/>
          <w:rtl/>
        </w:rPr>
        <w:tab/>
        <w:t xml:space="preserve">טל':  </w:t>
      </w:r>
      <w:r>
        <w:rPr>
          <w:rFonts w:hint="cs"/>
          <w:sz w:val="26"/>
          <w:szCs w:val="26"/>
          <w:rtl/>
        </w:rPr>
        <w:t>7412358</w:t>
      </w:r>
      <w:r w:rsidRPr="000178BF">
        <w:rPr>
          <w:rFonts w:hint="cs"/>
          <w:sz w:val="26"/>
          <w:szCs w:val="26"/>
          <w:rtl/>
        </w:rPr>
        <w:t xml:space="preserve"> - 03, פקס:  </w:t>
      </w:r>
      <w:r>
        <w:rPr>
          <w:rFonts w:hint="cs"/>
          <w:sz w:val="26"/>
          <w:szCs w:val="26"/>
          <w:rtl/>
        </w:rPr>
        <w:t>077-3180983</w:t>
      </w:r>
    </w:p>
    <w:p w14:paraId="061D20D6" w14:textId="77777777" w:rsidR="00F12CE0" w:rsidRPr="008F2304" w:rsidRDefault="00F12CE0" w:rsidP="000F100D">
      <w:pPr>
        <w:jc w:val="both"/>
        <w:rPr>
          <w:rtl/>
        </w:rPr>
      </w:pPr>
    </w:p>
    <w:p w14:paraId="26815376" w14:textId="2371051D" w:rsidR="00B9646F" w:rsidRDefault="001B2A90" w:rsidP="002D4BEE">
      <w:pPr>
        <w:ind w:right="-567"/>
        <w:jc w:val="center"/>
        <w:rPr>
          <w:b/>
          <w:bCs/>
          <w:sz w:val="38"/>
          <w:szCs w:val="38"/>
          <w:u w:val="single"/>
          <w:rtl/>
        </w:rPr>
      </w:pPr>
      <w:r>
        <w:rPr>
          <w:rFonts w:hint="cs"/>
          <w:b/>
          <w:bCs/>
          <w:sz w:val="38"/>
          <w:szCs w:val="38"/>
          <w:u w:val="single"/>
          <w:rtl/>
        </w:rPr>
        <w:t>תגובת המשיב לבקשת המערער לעיכוב ביצוע</w:t>
      </w:r>
    </w:p>
    <w:p w14:paraId="4A6BA5AA" w14:textId="77777777" w:rsidR="005D63E8" w:rsidRDefault="005D63E8" w:rsidP="009A3E44">
      <w:pPr>
        <w:jc w:val="both"/>
        <w:rPr>
          <w:sz w:val="26"/>
          <w:szCs w:val="26"/>
          <w:rtl/>
        </w:rPr>
      </w:pPr>
    </w:p>
    <w:p w14:paraId="1EBF55C2" w14:textId="3A86B5E3" w:rsidR="00DB456E" w:rsidRDefault="001B2A90" w:rsidP="009A3E44">
      <w:pPr>
        <w:jc w:val="both"/>
        <w:rPr>
          <w:sz w:val="26"/>
          <w:szCs w:val="26"/>
          <w:rtl/>
        </w:rPr>
      </w:pPr>
      <w:r>
        <w:rPr>
          <w:rFonts w:hint="cs"/>
          <w:sz w:val="26"/>
          <w:szCs w:val="26"/>
          <w:rtl/>
        </w:rPr>
        <w:t>בזיקה להחלטת בית המשפט הנכבד מיום 20.7.23 מתכבד המשיב ליתן תגובתו כדלקמן:</w:t>
      </w:r>
    </w:p>
    <w:p w14:paraId="0C514471" w14:textId="77777777" w:rsidR="00697A06" w:rsidRDefault="00697A06" w:rsidP="009A3E44">
      <w:pPr>
        <w:jc w:val="both"/>
        <w:rPr>
          <w:sz w:val="26"/>
          <w:szCs w:val="26"/>
          <w:rtl/>
        </w:rPr>
      </w:pPr>
    </w:p>
    <w:p w14:paraId="20BD2ACF" w14:textId="0FB1FDAE" w:rsidR="001B2A90" w:rsidRDefault="001B2A90" w:rsidP="001B2A90">
      <w:pPr>
        <w:pStyle w:val="a6"/>
        <w:numPr>
          <w:ilvl w:val="0"/>
          <w:numId w:val="15"/>
        </w:numPr>
        <w:jc w:val="both"/>
        <w:rPr>
          <w:sz w:val="26"/>
          <w:szCs w:val="26"/>
        </w:rPr>
      </w:pPr>
      <w:r w:rsidRPr="00805C1A">
        <w:rPr>
          <w:rFonts w:hint="cs"/>
          <w:sz w:val="26"/>
          <w:szCs w:val="26"/>
          <w:rtl/>
        </w:rPr>
        <w:t>המשיב מתנגד לבקשה ממספר טעמים אשר יפורטו להלן, בפתח הדברים יבקש המערער לציין את התנהלות המשיב, את חוסר תום ליבו והתנהלותו</w:t>
      </w:r>
      <w:r w:rsidR="00805C1A">
        <w:rPr>
          <w:rFonts w:hint="cs"/>
          <w:sz w:val="26"/>
          <w:szCs w:val="26"/>
          <w:rtl/>
        </w:rPr>
        <w:t>:</w:t>
      </w:r>
    </w:p>
    <w:p w14:paraId="371B6542" w14:textId="77777777" w:rsidR="00805C1A" w:rsidRPr="00805C1A" w:rsidRDefault="00805C1A" w:rsidP="00805C1A">
      <w:pPr>
        <w:pStyle w:val="a6"/>
        <w:ind w:left="1080"/>
        <w:jc w:val="both"/>
        <w:rPr>
          <w:sz w:val="26"/>
          <w:szCs w:val="26"/>
          <w:rtl/>
        </w:rPr>
      </w:pPr>
    </w:p>
    <w:p w14:paraId="38D78D5A" w14:textId="3ED3AD34" w:rsidR="001B2A90" w:rsidRPr="001B2A90" w:rsidRDefault="001B2A90" w:rsidP="001B2A90">
      <w:pPr>
        <w:pStyle w:val="a6"/>
        <w:ind w:left="1080"/>
        <w:jc w:val="both"/>
        <w:rPr>
          <w:b/>
          <w:bCs/>
          <w:sz w:val="26"/>
          <w:szCs w:val="26"/>
          <w:u w:val="single"/>
        </w:rPr>
      </w:pPr>
      <w:r w:rsidRPr="001B2A90">
        <w:rPr>
          <w:rFonts w:hint="cs"/>
          <w:b/>
          <w:bCs/>
          <w:sz w:val="26"/>
          <w:szCs w:val="26"/>
          <w:u w:val="single"/>
          <w:rtl/>
        </w:rPr>
        <w:t>הרקע להגשת הבקשה:</w:t>
      </w:r>
    </w:p>
    <w:p w14:paraId="2F0C0AB2" w14:textId="7D0CED3E" w:rsidR="001B2A90" w:rsidRDefault="001B2A90" w:rsidP="005D63E8">
      <w:pPr>
        <w:pStyle w:val="a6"/>
        <w:numPr>
          <w:ilvl w:val="0"/>
          <w:numId w:val="15"/>
        </w:numPr>
        <w:jc w:val="both"/>
        <w:rPr>
          <w:sz w:val="26"/>
          <w:szCs w:val="26"/>
        </w:rPr>
      </w:pPr>
      <w:r>
        <w:rPr>
          <w:rFonts w:hint="cs"/>
          <w:sz w:val="26"/>
          <w:szCs w:val="26"/>
          <w:rtl/>
        </w:rPr>
        <w:t>המערער לא רוחץ בניקיון כפיים ולא מתאר לבית המשפט הנכבד את אשר קדם להגשת בקשתו זו.</w:t>
      </w:r>
    </w:p>
    <w:p w14:paraId="31633F9E" w14:textId="77777777" w:rsidR="001B2A90" w:rsidRDefault="001B2A90" w:rsidP="001B2A90">
      <w:pPr>
        <w:pStyle w:val="a6"/>
        <w:ind w:left="1080"/>
        <w:jc w:val="both"/>
        <w:rPr>
          <w:sz w:val="26"/>
          <w:szCs w:val="26"/>
        </w:rPr>
      </w:pPr>
    </w:p>
    <w:p w14:paraId="4C76DE3F" w14:textId="18DC8EB5" w:rsidR="001B2A90" w:rsidRDefault="00805C1A" w:rsidP="005D63E8">
      <w:pPr>
        <w:pStyle w:val="a6"/>
        <w:numPr>
          <w:ilvl w:val="0"/>
          <w:numId w:val="15"/>
        </w:numPr>
        <w:jc w:val="both"/>
        <w:rPr>
          <w:sz w:val="26"/>
          <w:szCs w:val="26"/>
        </w:rPr>
      </w:pPr>
      <w:r>
        <w:rPr>
          <w:rFonts w:hint="cs"/>
          <w:sz w:val="26"/>
          <w:szCs w:val="26"/>
          <w:rtl/>
        </w:rPr>
        <w:t>בתאריך</w:t>
      </w:r>
      <w:r w:rsidR="004137A6">
        <w:rPr>
          <w:rFonts w:hint="cs"/>
          <w:sz w:val="26"/>
          <w:szCs w:val="26"/>
          <w:rtl/>
        </w:rPr>
        <w:t xml:space="preserve"> 17.7.23 </w:t>
      </w:r>
      <w:r w:rsidR="004137A6">
        <w:rPr>
          <w:sz w:val="26"/>
          <w:szCs w:val="26"/>
          <w:rtl/>
        </w:rPr>
        <w:t>–</w:t>
      </w:r>
      <w:r w:rsidR="004137A6">
        <w:rPr>
          <w:rFonts w:hint="cs"/>
          <w:sz w:val="26"/>
          <w:szCs w:val="26"/>
          <w:rtl/>
        </w:rPr>
        <w:t xml:space="preserve"> 8 ימים לאחר הגשת הערעור התקשרה</w:t>
      </w:r>
      <w:r>
        <w:rPr>
          <w:rFonts w:hint="cs"/>
          <w:sz w:val="26"/>
          <w:szCs w:val="26"/>
          <w:rtl/>
        </w:rPr>
        <w:t xml:space="preserve"> לח"מ</w:t>
      </w:r>
      <w:r w:rsidR="004137A6">
        <w:rPr>
          <w:rFonts w:hint="cs"/>
          <w:sz w:val="26"/>
          <w:szCs w:val="26"/>
          <w:rtl/>
        </w:rPr>
        <w:t xml:space="preserve"> עובדת המשיב לוודא כי הערעור שנשלח בפקס יומיים קודם לכן (6 ימים לאחר הגשת הערעור) התקבל. במהלך אותה השיחה ביקש הח"מ לשוחח עם עורך הדין המטפל בתיק </w:t>
      </w:r>
      <w:r>
        <w:rPr>
          <w:rFonts w:hint="cs"/>
          <w:sz w:val="26"/>
          <w:szCs w:val="26"/>
          <w:rtl/>
        </w:rPr>
        <w:t>והשיחה הועברה</w:t>
      </w:r>
      <w:r w:rsidR="004137A6">
        <w:rPr>
          <w:rFonts w:hint="cs"/>
          <w:sz w:val="26"/>
          <w:szCs w:val="26"/>
          <w:rtl/>
        </w:rPr>
        <w:t xml:space="preserve"> לעו"ד שחר לוין (להלן:"</w:t>
      </w:r>
      <w:r w:rsidR="004137A6">
        <w:rPr>
          <w:rFonts w:hint="cs"/>
          <w:b/>
          <w:bCs/>
          <w:sz w:val="26"/>
          <w:szCs w:val="26"/>
          <w:rtl/>
        </w:rPr>
        <w:t>עו"ד לוין</w:t>
      </w:r>
      <w:r w:rsidR="004137A6">
        <w:rPr>
          <w:rFonts w:hint="cs"/>
          <w:sz w:val="26"/>
          <w:szCs w:val="26"/>
          <w:rtl/>
        </w:rPr>
        <w:t>").</w:t>
      </w:r>
    </w:p>
    <w:p w14:paraId="01535130" w14:textId="77777777" w:rsidR="004137A6" w:rsidRPr="004137A6" w:rsidRDefault="004137A6" w:rsidP="004137A6">
      <w:pPr>
        <w:pStyle w:val="a6"/>
        <w:rPr>
          <w:sz w:val="26"/>
          <w:szCs w:val="26"/>
          <w:rtl/>
        </w:rPr>
      </w:pPr>
    </w:p>
    <w:p w14:paraId="3F1DFA4C" w14:textId="2AFB58E0" w:rsidR="00FC4EEF" w:rsidRDefault="004137A6" w:rsidP="00FC4EEF">
      <w:pPr>
        <w:pStyle w:val="a6"/>
        <w:numPr>
          <w:ilvl w:val="0"/>
          <w:numId w:val="15"/>
        </w:numPr>
        <w:jc w:val="both"/>
        <w:rPr>
          <w:sz w:val="26"/>
          <w:szCs w:val="26"/>
        </w:rPr>
      </w:pPr>
      <w:r>
        <w:rPr>
          <w:rFonts w:hint="cs"/>
          <w:sz w:val="26"/>
          <w:szCs w:val="26"/>
          <w:rtl/>
        </w:rPr>
        <w:t xml:space="preserve">בשיחה שאל הח"מ את עו"ד לוין מדוע המשיב לא פועל כמצוות פסק הדין </w:t>
      </w:r>
      <w:r w:rsidR="00FC4EEF">
        <w:rPr>
          <w:rStyle w:val="a9"/>
          <w:sz w:val="26"/>
          <w:szCs w:val="26"/>
        </w:rPr>
        <w:footnoteReference w:id="1"/>
      </w:r>
      <w:r w:rsidR="00FC4EEF">
        <w:rPr>
          <w:rFonts w:hint="cs"/>
          <w:sz w:val="26"/>
          <w:szCs w:val="26"/>
          <w:rtl/>
        </w:rPr>
        <w:t xml:space="preserve"> עו"ד לוין השיב כי הוגש ערעור ואמר כי מבקש לבדוק זאת עם עו"ד </w:t>
      </w:r>
      <w:r w:rsidR="002D147C">
        <w:rPr>
          <w:rFonts w:hint="cs"/>
          <w:sz w:val="26"/>
          <w:szCs w:val="26"/>
          <w:rtl/>
        </w:rPr>
        <w:t>יואב דור (להלן:"</w:t>
      </w:r>
      <w:r w:rsidR="002D147C">
        <w:rPr>
          <w:rFonts w:hint="cs"/>
          <w:b/>
          <w:bCs/>
          <w:sz w:val="26"/>
          <w:szCs w:val="26"/>
          <w:rtl/>
        </w:rPr>
        <w:t xml:space="preserve"> עו"ד </w:t>
      </w:r>
      <w:r w:rsidR="002D147C" w:rsidRPr="002D147C">
        <w:rPr>
          <w:rFonts w:hint="cs"/>
          <w:b/>
          <w:bCs/>
          <w:sz w:val="26"/>
          <w:szCs w:val="26"/>
          <w:rtl/>
        </w:rPr>
        <w:t>דור</w:t>
      </w:r>
      <w:r w:rsidR="002D147C">
        <w:rPr>
          <w:rFonts w:hint="cs"/>
          <w:sz w:val="26"/>
          <w:szCs w:val="26"/>
          <w:rtl/>
        </w:rPr>
        <w:t>")</w:t>
      </w:r>
      <w:r w:rsidR="00805C1A">
        <w:rPr>
          <w:rFonts w:hint="cs"/>
          <w:sz w:val="26"/>
          <w:szCs w:val="26"/>
          <w:rtl/>
        </w:rPr>
        <w:t xml:space="preserve"> </w:t>
      </w:r>
      <w:r w:rsidR="002D147C" w:rsidRPr="002D147C">
        <w:rPr>
          <w:rFonts w:hint="cs"/>
          <w:sz w:val="26"/>
          <w:szCs w:val="26"/>
          <w:rtl/>
        </w:rPr>
        <w:t>שחתום</w:t>
      </w:r>
      <w:r w:rsidR="002D147C">
        <w:rPr>
          <w:rFonts w:hint="cs"/>
          <w:sz w:val="26"/>
          <w:szCs w:val="26"/>
          <w:rtl/>
        </w:rPr>
        <w:t xml:space="preserve"> על כתב הערעור </w:t>
      </w:r>
      <w:r w:rsidR="00805C1A">
        <w:rPr>
          <w:rFonts w:hint="cs"/>
          <w:sz w:val="26"/>
          <w:szCs w:val="26"/>
          <w:rtl/>
        </w:rPr>
        <w:t>ולאחר מכן יחזיר תשובה</w:t>
      </w:r>
      <w:r w:rsidR="002D147C">
        <w:rPr>
          <w:rFonts w:hint="cs"/>
          <w:sz w:val="26"/>
          <w:szCs w:val="26"/>
          <w:rtl/>
        </w:rPr>
        <w:t>.</w:t>
      </w:r>
      <w:r w:rsidR="00805C1A">
        <w:rPr>
          <w:rFonts w:hint="cs"/>
          <w:sz w:val="26"/>
          <w:szCs w:val="26"/>
          <w:rtl/>
        </w:rPr>
        <w:t xml:space="preserve"> במעמד אותה השיחה ציין</w:t>
      </w:r>
      <w:r w:rsidR="002D147C">
        <w:rPr>
          <w:rFonts w:hint="cs"/>
          <w:sz w:val="26"/>
          <w:szCs w:val="26"/>
          <w:rtl/>
        </w:rPr>
        <w:t xml:space="preserve"> הח"מ כי הוא מכין בקשה לערכאה אשר נתנה את פסק הדין להורות למשיב לקיימו</w:t>
      </w:r>
      <w:r w:rsidR="00805C1A">
        <w:rPr>
          <w:rFonts w:hint="cs"/>
          <w:sz w:val="26"/>
          <w:szCs w:val="26"/>
          <w:rtl/>
        </w:rPr>
        <w:t xml:space="preserve"> ו</w:t>
      </w:r>
      <w:r w:rsidR="002D147C">
        <w:rPr>
          <w:rFonts w:hint="cs"/>
          <w:sz w:val="26"/>
          <w:szCs w:val="26"/>
          <w:rtl/>
        </w:rPr>
        <w:t xml:space="preserve">עו"ד לוין השיב שיבדוק ויחזור עוד היום. </w:t>
      </w:r>
    </w:p>
    <w:p w14:paraId="29D1162C" w14:textId="77777777" w:rsidR="002D147C" w:rsidRPr="002D147C" w:rsidRDefault="002D147C" w:rsidP="002D147C">
      <w:pPr>
        <w:pStyle w:val="a6"/>
        <w:rPr>
          <w:sz w:val="26"/>
          <w:szCs w:val="26"/>
          <w:rtl/>
        </w:rPr>
      </w:pPr>
    </w:p>
    <w:p w14:paraId="31F1F1AC" w14:textId="2A93FEF5" w:rsidR="002D147C" w:rsidRDefault="002D147C" w:rsidP="00FC4EEF">
      <w:pPr>
        <w:pStyle w:val="a6"/>
        <w:numPr>
          <w:ilvl w:val="0"/>
          <w:numId w:val="15"/>
        </w:numPr>
        <w:jc w:val="both"/>
        <w:rPr>
          <w:sz w:val="26"/>
          <w:szCs w:val="26"/>
        </w:rPr>
      </w:pPr>
      <w:r>
        <w:rPr>
          <w:rFonts w:hint="cs"/>
          <w:sz w:val="26"/>
          <w:szCs w:val="26"/>
          <w:rtl/>
        </w:rPr>
        <w:t xml:space="preserve">בחלוף מספר שעות התקשר עו"ד לוין </w:t>
      </w:r>
      <w:r w:rsidR="00805C1A">
        <w:rPr>
          <w:rFonts w:hint="cs"/>
          <w:sz w:val="26"/>
          <w:szCs w:val="26"/>
          <w:rtl/>
        </w:rPr>
        <w:t>וציין</w:t>
      </w:r>
      <w:r>
        <w:rPr>
          <w:rFonts w:hint="cs"/>
          <w:sz w:val="26"/>
          <w:szCs w:val="26"/>
          <w:rtl/>
        </w:rPr>
        <w:t xml:space="preserve"> כי בדק עם עו"ד דור אשר השיב כי "ככל ואתה עומד על זה אנחנו נגיש בקשה לעיכוב ביצוע". תשובה זו תמוהה שלא לומר מופרכת, המשיב, נכה צה"ל, קובע לפרקליטות אילו בקשות להגיש? האם תפקידו של הנכה "לרדוף" אחר קצין התגמולים על מנת לקבל את אשר הוא זכאי לו בדין.</w:t>
      </w:r>
    </w:p>
    <w:p w14:paraId="10B9544E" w14:textId="77777777" w:rsidR="002D147C" w:rsidRPr="002D147C" w:rsidRDefault="002D147C" w:rsidP="002D147C">
      <w:pPr>
        <w:pStyle w:val="a6"/>
        <w:rPr>
          <w:sz w:val="26"/>
          <w:szCs w:val="26"/>
          <w:rtl/>
        </w:rPr>
      </w:pPr>
    </w:p>
    <w:p w14:paraId="7B052DC2" w14:textId="3B7EA9B6" w:rsidR="002D147C" w:rsidRDefault="002D147C" w:rsidP="00FC4EEF">
      <w:pPr>
        <w:pStyle w:val="a6"/>
        <w:numPr>
          <w:ilvl w:val="0"/>
          <w:numId w:val="15"/>
        </w:numPr>
        <w:jc w:val="both"/>
        <w:rPr>
          <w:sz w:val="26"/>
          <w:szCs w:val="26"/>
        </w:rPr>
      </w:pPr>
      <w:r>
        <w:rPr>
          <w:rFonts w:hint="cs"/>
          <w:sz w:val="26"/>
          <w:szCs w:val="26"/>
          <w:rtl/>
        </w:rPr>
        <w:lastRenderedPageBreak/>
        <w:t>לא יעלה על הדעת כי קצין התגמולים המיוצג ע"י הפרקליטות-מדינת ישראל, יעשה דין</w:t>
      </w:r>
      <w:r w:rsidR="00805C1A">
        <w:rPr>
          <w:rFonts w:hint="cs"/>
          <w:sz w:val="26"/>
          <w:szCs w:val="26"/>
          <w:rtl/>
        </w:rPr>
        <w:t xml:space="preserve"> לעצמו</w:t>
      </w:r>
      <w:r>
        <w:rPr>
          <w:rFonts w:hint="cs"/>
          <w:sz w:val="26"/>
          <w:szCs w:val="26"/>
          <w:rtl/>
        </w:rPr>
        <w:t xml:space="preserve"> ויחליט שאין הוא חייב למלא אחר הוראות פסק הדין ויפר ברגל גסה את המוטל עליו בדין.</w:t>
      </w:r>
    </w:p>
    <w:p w14:paraId="15077505" w14:textId="77777777" w:rsidR="002D147C" w:rsidRPr="002D147C" w:rsidRDefault="002D147C" w:rsidP="002D147C">
      <w:pPr>
        <w:pStyle w:val="a6"/>
        <w:rPr>
          <w:sz w:val="26"/>
          <w:szCs w:val="26"/>
          <w:rtl/>
        </w:rPr>
      </w:pPr>
    </w:p>
    <w:p w14:paraId="2FCAE031" w14:textId="3BB39267" w:rsidR="002D147C" w:rsidRDefault="002D147C" w:rsidP="00FC4EEF">
      <w:pPr>
        <w:pStyle w:val="a6"/>
        <w:numPr>
          <w:ilvl w:val="0"/>
          <w:numId w:val="15"/>
        </w:numPr>
        <w:jc w:val="both"/>
        <w:rPr>
          <w:sz w:val="26"/>
          <w:szCs w:val="26"/>
        </w:rPr>
      </w:pPr>
      <w:r>
        <w:rPr>
          <w:rFonts w:hint="cs"/>
          <w:sz w:val="26"/>
          <w:szCs w:val="26"/>
          <w:rtl/>
        </w:rPr>
        <w:t xml:space="preserve">הח"מ ביקש מעו"ד לוין להתייחס לכך והוא חזר על האמור והשיב "ככל ואתה עומד על זה נגיש בקשה לעיכוב ביצוע". הח"מ השיב שהוא </w:t>
      </w:r>
      <w:r w:rsidR="00A87021">
        <w:rPr>
          <w:rFonts w:hint="cs"/>
          <w:sz w:val="26"/>
          <w:szCs w:val="26"/>
          <w:rtl/>
        </w:rPr>
        <w:t xml:space="preserve">לא אומר לפרקליטות מה להגיש ואיך ראוי לפעול מבחינה משפטית, הח"מ אמר שהוא בסה"כ מחוייב ללקוחו ובמסגרת חובתו דורש </w:t>
      </w:r>
      <w:r>
        <w:rPr>
          <w:rFonts w:hint="cs"/>
          <w:sz w:val="26"/>
          <w:szCs w:val="26"/>
          <w:rtl/>
        </w:rPr>
        <w:t xml:space="preserve">שהמשיב יקיים את הוראות הדין ככתבן וכלשונן וכי הוא לא מכיר </w:t>
      </w:r>
      <w:r w:rsidR="006F1516">
        <w:rPr>
          <w:rFonts w:hint="cs"/>
          <w:sz w:val="26"/>
          <w:szCs w:val="26"/>
          <w:rtl/>
        </w:rPr>
        <w:t>סיטואציה בדין אשר מאפשרת למשיב לפעול כך בלא שניתנה החלטה בבקשה אשר לא הוגשה כאמור. משלא ניתנו לח"מ תשובות ביקש הח"מ לשוחח עם עורך הדין האחראי לשיטתם, עו"ד דור.</w:t>
      </w:r>
    </w:p>
    <w:p w14:paraId="4F942A2A" w14:textId="77777777" w:rsidR="006F1516" w:rsidRPr="006F1516" w:rsidRDefault="006F1516" w:rsidP="006F1516">
      <w:pPr>
        <w:pStyle w:val="a6"/>
        <w:rPr>
          <w:sz w:val="26"/>
          <w:szCs w:val="26"/>
          <w:rtl/>
        </w:rPr>
      </w:pPr>
    </w:p>
    <w:p w14:paraId="776DEFC4" w14:textId="22639AB7" w:rsidR="006F1516" w:rsidRDefault="006F1516" w:rsidP="00FC4EEF">
      <w:pPr>
        <w:pStyle w:val="a6"/>
        <w:numPr>
          <w:ilvl w:val="0"/>
          <w:numId w:val="15"/>
        </w:numPr>
        <w:jc w:val="both"/>
        <w:rPr>
          <w:sz w:val="26"/>
          <w:szCs w:val="26"/>
        </w:rPr>
      </w:pPr>
      <w:r>
        <w:rPr>
          <w:rFonts w:hint="cs"/>
          <w:sz w:val="26"/>
          <w:szCs w:val="26"/>
          <w:rtl/>
        </w:rPr>
        <w:t>לאחר סיום השיחה, בתאריך 17.7.23 הוגשה בקשה כאמור בסעיף 4 לעיל.</w:t>
      </w:r>
    </w:p>
    <w:p w14:paraId="4C6C0F4C" w14:textId="77777777" w:rsidR="006F1516" w:rsidRPr="006F1516" w:rsidRDefault="006F1516" w:rsidP="006F1516">
      <w:pPr>
        <w:pStyle w:val="a6"/>
        <w:rPr>
          <w:sz w:val="26"/>
          <w:szCs w:val="26"/>
          <w:rtl/>
        </w:rPr>
      </w:pPr>
    </w:p>
    <w:p w14:paraId="602A28CC" w14:textId="5E45C6F3" w:rsidR="006F1516" w:rsidRDefault="006F1516" w:rsidP="006F1516">
      <w:pPr>
        <w:pStyle w:val="a6"/>
        <w:ind w:left="1080"/>
        <w:jc w:val="both"/>
        <w:rPr>
          <w:sz w:val="26"/>
          <w:szCs w:val="26"/>
        </w:rPr>
      </w:pPr>
      <w:r>
        <w:rPr>
          <w:rFonts w:hint="cs"/>
          <w:sz w:val="26"/>
          <w:szCs w:val="26"/>
          <w:rtl/>
        </w:rPr>
        <w:t>*רצ"ב העתק הבקשה, מסומנת "</w:t>
      </w:r>
      <w:r w:rsidRPr="00805C1A">
        <w:rPr>
          <w:rFonts w:hint="cs"/>
          <w:b/>
          <w:bCs/>
          <w:sz w:val="26"/>
          <w:szCs w:val="26"/>
          <w:rtl/>
        </w:rPr>
        <w:t>כנספח 1</w:t>
      </w:r>
      <w:r>
        <w:rPr>
          <w:rFonts w:hint="cs"/>
          <w:sz w:val="26"/>
          <w:szCs w:val="26"/>
          <w:rtl/>
        </w:rPr>
        <w:t>"</w:t>
      </w:r>
    </w:p>
    <w:p w14:paraId="27364BA2" w14:textId="77777777" w:rsidR="00FC4EEF" w:rsidRPr="00FC4EEF" w:rsidRDefault="00FC4EEF" w:rsidP="00FC4EEF">
      <w:pPr>
        <w:jc w:val="both"/>
        <w:rPr>
          <w:sz w:val="26"/>
          <w:szCs w:val="26"/>
        </w:rPr>
      </w:pPr>
    </w:p>
    <w:p w14:paraId="60DE9948" w14:textId="5DEBD126" w:rsidR="000422C8" w:rsidRDefault="00502428" w:rsidP="005D63E8">
      <w:pPr>
        <w:pStyle w:val="a6"/>
        <w:numPr>
          <w:ilvl w:val="0"/>
          <w:numId w:val="15"/>
        </w:numPr>
        <w:jc w:val="both"/>
        <w:rPr>
          <w:sz w:val="26"/>
          <w:szCs w:val="26"/>
        </w:rPr>
      </w:pPr>
      <w:r>
        <w:rPr>
          <w:rFonts w:hint="cs"/>
          <w:sz w:val="26"/>
          <w:szCs w:val="26"/>
          <w:rtl/>
        </w:rPr>
        <w:t>למחרת, בתאריך 18.7.23</w:t>
      </w:r>
      <w:r w:rsidR="00A87021">
        <w:rPr>
          <w:rFonts w:hint="cs"/>
          <w:sz w:val="26"/>
          <w:szCs w:val="26"/>
          <w:rtl/>
        </w:rPr>
        <w:t xml:space="preserve"> הגיש המערער בקשה לעיכוב ביצוע. חוסר תום לב כבר אמרנו? יצויין כי עד למועד כתיבת שורות תגובה זו לא טרח עו"ד דור ליצור קשר עם הח"מ ולשוחח איתו כפי שהתבקש.</w:t>
      </w:r>
    </w:p>
    <w:p w14:paraId="37539479" w14:textId="77777777" w:rsidR="001618BD" w:rsidRDefault="001618BD" w:rsidP="001618BD">
      <w:pPr>
        <w:pStyle w:val="a6"/>
        <w:ind w:left="1080"/>
        <w:jc w:val="both"/>
        <w:rPr>
          <w:sz w:val="26"/>
          <w:szCs w:val="26"/>
        </w:rPr>
      </w:pPr>
    </w:p>
    <w:p w14:paraId="46A3A943" w14:textId="61E55AB7" w:rsidR="001618BD" w:rsidRDefault="00A87021" w:rsidP="005D63E8">
      <w:pPr>
        <w:pStyle w:val="a6"/>
        <w:numPr>
          <w:ilvl w:val="0"/>
          <w:numId w:val="15"/>
        </w:numPr>
        <w:jc w:val="both"/>
        <w:rPr>
          <w:sz w:val="26"/>
          <w:szCs w:val="26"/>
        </w:rPr>
      </w:pPr>
      <w:r>
        <w:rPr>
          <w:rFonts w:hint="cs"/>
          <w:sz w:val="26"/>
          <w:szCs w:val="26"/>
          <w:rtl/>
        </w:rPr>
        <w:t>בתאריך 23.7.23 ניתנה החלטת כב' השופט צור.</w:t>
      </w:r>
    </w:p>
    <w:p w14:paraId="36CE987D" w14:textId="77777777" w:rsidR="00A87021" w:rsidRPr="00A87021" w:rsidRDefault="00A87021" w:rsidP="00A87021">
      <w:pPr>
        <w:pStyle w:val="a6"/>
        <w:rPr>
          <w:sz w:val="26"/>
          <w:szCs w:val="26"/>
          <w:rtl/>
        </w:rPr>
      </w:pPr>
    </w:p>
    <w:p w14:paraId="4D364A56" w14:textId="719E6A2F" w:rsidR="00A87021" w:rsidRPr="00A87021" w:rsidRDefault="00A87021" w:rsidP="00A87021">
      <w:pPr>
        <w:pStyle w:val="a6"/>
        <w:ind w:left="1080"/>
        <w:jc w:val="both"/>
        <w:rPr>
          <w:sz w:val="26"/>
          <w:szCs w:val="26"/>
        </w:rPr>
      </w:pPr>
      <w:r>
        <w:rPr>
          <w:rFonts w:hint="cs"/>
          <w:sz w:val="26"/>
          <w:szCs w:val="26"/>
          <w:rtl/>
        </w:rPr>
        <w:t>רצ"ב החלטת כב' השופט צור, מסומנת "</w:t>
      </w:r>
      <w:r>
        <w:rPr>
          <w:rFonts w:hint="cs"/>
          <w:b/>
          <w:bCs/>
          <w:sz w:val="26"/>
          <w:szCs w:val="26"/>
          <w:rtl/>
        </w:rPr>
        <w:t>כנספח 2</w:t>
      </w:r>
      <w:r>
        <w:rPr>
          <w:rFonts w:hint="cs"/>
          <w:sz w:val="26"/>
          <w:szCs w:val="26"/>
          <w:rtl/>
        </w:rPr>
        <w:t>".</w:t>
      </w:r>
    </w:p>
    <w:p w14:paraId="29332AF9" w14:textId="77777777" w:rsidR="00805C1A" w:rsidRDefault="00805C1A" w:rsidP="001618BD">
      <w:pPr>
        <w:pStyle w:val="a6"/>
        <w:rPr>
          <w:b/>
          <w:bCs/>
          <w:sz w:val="26"/>
          <w:szCs w:val="26"/>
          <w:u w:val="single"/>
          <w:rtl/>
        </w:rPr>
      </w:pPr>
    </w:p>
    <w:p w14:paraId="67B3F836" w14:textId="5CDC4FA9" w:rsidR="001618BD" w:rsidRDefault="0061100A" w:rsidP="005D63E8">
      <w:pPr>
        <w:pStyle w:val="a6"/>
        <w:numPr>
          <w:ilvl w:val="0"/>
          <w:numId w:val="15"/>
        </w:numPr>
        <w:jc w:val="both"/>
        <w:rPr>
          <w:sz w:val="26"/>
          <w:szCs w:val="26"/>
        </w:rPr>
      </w:pPr>
      <w:r>
        <w:rPr>
          <w:rFonts w:hint="cs"/>
          <w:sz w:val="26"/>
          <w:szCs w:val="26"/>
          <w:rtl/>
        </w:rPr>
        <w:t>כאמור וכפי שיודגש פעם נוספת</w:t>
      </w:r>
      <w:r w:rsidR="00805C1A">
        <w:rPr>
          <w:rFonts w:hint="cs"/>
          <w:sz w:val="26"/>
          <w:szCs w:val="26"/>
          <w:rtl/>
        </w:rPr>
        <w:t>,</w:t>
      </w:r>
      <w:r>
        <w:rPr>
          <w:rFonts w:hint="cs"/>
          <w:sz w:val="26"/>
          <w:szCs w:val="26"/>
          <w:rtl/>
        </w:rPr>
        <w:t xml:space="preserve"> מפאת חשיבות הדבר והדגשת התנהלות המערער בניגוד גמור לדין</w:t>
      </w:r>
      <w:r w:rsidR="00805C1A">
        <w:rPr>
          <w:rFonts w:hint="cs"/>
          <w:sz w:val="26"/>
          <w:szCs w:val="26"/>
          <w:rtl/>
        </w:rPr>
        <w:t>,</w:t>
      </w:r>
      <w:r>
        <w:rPr>
          <w:rFonts w:hint="cs"/>
          <w:sz w:val="26"/>
          <w:szCs w:val="26"/>
          <w:rtl/>
        </w:rPr>
        <w:t xml:space="preserve"> </w:t>
      </w:r>
      <w:r w:rsidRPr="00805C1A">
        <w:rPr>
          <w:rFonts w:hint="cs"/>
          <w:sz w:val="26"/>
          <w:szCs w:val="26"/>
          <w:u w:val="single"/>
          <w:rtl/>
        </w:rPr>
        <w:t>כי משאין מחלוקת על ההכרה היה על המערער להכיר בו כנכה צה"ל על כל המשתמע מכך</w:t>
      </w:r>
      <w:r>
        <w:rPr>
          <w:rFonts w:hint="cs"/>
          <w:sz w:val="26"/>
          <w:szCs w:val="26"/>
          <w:rtl/>
        </w:rPr>
        <w:t>, אולם, המערער לא עשה כן, לא עירער על ההחלטה, לא ביקש עיכוב ביצוע לגביה ולמרות זאת מפר ברגל גסה את הוראות פסק הדין, חוסר תום לב בוטה ומעציב בכלל ושהמדובר הוא בנכה צה"ל בפרט.</w:t>
      </w:r>
    </w:p>
    <w:p w14:paraId="574A08E0" w14:textId="77777777" w:rsidR="0061100A" w:rsidRDefault="0061100A" w:rsidP="0061100A">
      <w:pPr>
        <w:pStyle w:val="a6"/>
        <w:ind w:left="1080"/>
        <w:jc w:val="both"/>
        <w:rPr>
          <w:sz w:val="26"/>
          <w:szCs w:val="26"/>
        </w:rPr>
      </w:pPr>
    </w:p>
    <w:p w14:paraId="09AD4503" w14:textId="77777777" w:rsidR="00C4203D" w:rsidRPr="00805C1A" w:rsidRDefault="00C4203D" w:rsidP="001618BD">
      <w:pPr>
        <w:pStyle w:val="a6"/>
        <w:rPr>
          <w:b/>
          <w:bCs/>
          <w:sz w:val="26"/>
          <w:szCs w:val="26"/>
          <w:u w:val="single"/>
          <w:rtl/>
        </w:rPr>
      </w:pPr>
      <w:r w:rsidRPr="00805C1A">
        <w:rPr>
          <w:rFonts w:hint="cs"/>
          <w:b/>
          <w:bCs/>
          <w:sz w:val="26"/>
          <w:szCs w:val="26"/>
          <w:u w:val="single"/>
          <w:rtl/>
        </w:rPr>
        <w:t xml:space="preserve">תגובת המשיב </w:t>
      </w:r>
      <w:r w:rsidRPr="00805C1A">
        <w:rPr>
          <w:b/>
          <w:bCs/>
          <w:sz w:val="26"/>
          <w:szCs w:val="26"/>
          <w:u w:val="single"/>
          <w:rtl/>
        </w:rPr>
        <w:t>–</w:t>
      </w:r>
      <w:r w:rsidRPr="00805C1A">
        <w:rPr>
          <w:rFonts w:hint="cs"/>
          <w:b/>
          <w:bCs/>
          <w:sz w:val="26"/>
          <w:szCs w:val="26"/>
          <w:u w:val="single"/>
          <w:rtl/>
        </w:rPr>
        <w:t xml:space="preserve"> </w:t>
      </w:r>
      <w:r>
        <w:rPr>
          <w:rFonts w:hint="cs"/>
          <w:b/>
          <w:bCs/>
          <w:sz w:val="26"/>
          <w:szCs w:val="26"/>
          <w:u w:val="single"/>
          <w:rtl/>
        </w:rPr>
        <w:t>דין הבקשה להידחות:</w:t>
      </w:r>
    </w:p>
    <w:p w14:paraId="2B56C7DC" w14:textId="644BC2A6" w:rsidR="0061100A" w:rsidRDefault="0061100A" w:rsidP="005D63E8">
      <w:pPr>
        <w:pStyle w:val="a6"/>
        <w:numPr>
          <w:ilvl w:val="0"/>
          <w:numId w:val="15"/>
        </w:numPr>
        <w:jc w:val="both"/>
        <w:rPr>
          <w:sz w:val="26"/>
          <w:szCs w:val="26"/>
        </w:rPr>
      </w:pPr>
      <w:r>
        <w:rPr>
          <w:rFonts w:hint="cs"/>
          <w:sz w:val="26"/>
          <w:szCs w:val="26"/>
          <w:rtl/>
        </w:rPr>
        <w:t>אין צורך להכביר במילים בדבר העובדה שאין עיכוב ביצוע "אוטומטי" בעת הגשת ערעור ועל מנת שלא להלאות את בית המשפט הנכבד לא תאוזכר פסיקה בדבר "המובן מאליו".</w:t>
      </w:r>
    </w:p>
    <w:p w14:paraId="41A3BC3F" w14:textId="77777777" w:rsidR="0061100A" w:rsidRPr="0061100A" w:rsidRDefault="0061100A" w:rsidP="0061100A">
      <w:pPr>
        <w:pStyle w:val="a6"/>
        <w:rPr>
          <w:sz w:val="26"/>
          <w:szCs w:val="26"/>
          <w:rtl/>
        </w:rPr>
      </w:pPr>
    </w:p>
    <w:p w14:paraId="6C831B15" w14:textId="10B2EF34" w:rsidR="0061100A" w:rsidRDefault="0061100A" w:rsidP="0061100A">
      <w:pPr>
        <w:pStyle w:val="a6"/>
        <w:numPr>
          <w:ilvl w:val="0"/>
          <w:numId w:val="15"/>
        </w:numPr>
        <w:jc w:val="both"/>
        <w:rPr>
          <w:sz w:val="26"/>
          <w:szCs w:val="26"/>
        </w:rPr>
      </w:pPr>
      <w:r>
        <w:rPr>
          <w:rFonts w:hint="cs"/>
          <w:sz w:val="26"/>
          <w:szCs w:val="26"/>
          <w:rtl/>
        </w:rPr>
        <w:t xml:space="preserve">הבקשה לא מתייחסת לפסיקה הענפה שדנה בנושא עיכוב ביצוע. הכלל (שהופר כאמור ע"י המערער) הינו שהגשת ערעור איננה מעכבת את מימושו של פסק הדין מושא הערעור. </w:t>
      </w:r>
      <w:r w:rsidRPr="0061100A">
        <w:rPr>
          <w:rFonts w:hint="cs"/>
          <w:sz w:val="26"/>
          <w:szCs w:val="26"/>
          <w:rtl/>
        </w:rPr>
        <w:t xml:space="preserve">עוד נפסק כי חריגה מהכלל האמור תיתכן רק במקרים בהם המבקש מוכיח כי סיכויי ערעורו הם טובים במיוחד וכי מאזן הנוחות נוטה לטובתו, במובן זה </w:t>
      </w:r>
      <w:r w:rsidRPr="00C4203D">
        <w:rPr>
          <w:rFonts w:hint="cs"/>
          <w:sz w:val="26"/>
          <w:szCs w:val="26"/>
          <w:u w:val="single"/>
          <w:rtl/>
        </w:rPr>
        <w:t>שאם תידחה הבקשה וערעורו יתקבל יגרם לו נזק בלתי הפיך</w:t>
      </w:r>
      <w:r w:rsidRPr="0061100A">
        <w:rPr>
          <w:rFonts w:hint="cs"/>
          <w:sz w:val="26"/>
          <w:szCs w:val="26"/>
          <w:rtl/>
        </w:rPr>
        <w:t xml:space="preserve">. ראה לענין זה ע"א 1911/21 </w:t>
      </w:r>
      <w:r w:rsidRPr="0061100A">
        <w:rPr>
          <w:rFonts w:hint="cs"/>
          <w:b/>
          <w:bCs/>
          <w:sz w:val="26"/>
          <w:szCs w:val="26"/>
          <w:rtl/>
        </w:rPr>
        <w:t>חברת בתי המלון הערביים נ' הוועדה המקומית לתכנון ובניה ירושלים</w:t>
      </w:r>
      <w:r w:rsidRPr="0061100A">
        <w:rPr>
          <w:rFonts w:hint="cs"/>
          <w:sz w:val="26"/>
          <w:szCs w:val="26"/>
          <w:rtl/>
        </w:rPr>
        <w:t xml:space="preserve"> (נבו- 22.4.21), פסקה 10 לפסק הדין והאסמכתאות המפורטות שם</w:t>
      </w:r>
      <w:r w:rsidR="00C4203D">
        <w:rPr>
          <w:rFonts w:hint="cs"/>
          <w:sz w:val="26"/>
          <w:szCs w:val="26"/>
          <w:rtl/>
        </w:rPr>
        <w:t xml:space="preserve"> (ההדגשות לא במקור-הח"מ).</w:t>
      </w:r>
    </w:p>
    <w:p w14:paraId="35594CAD" w14:textId="77777777" w:rsidR="0061100A" w:rsidRPr="0061100A" w:rsidRDefault="0061100A" w:rsidP="0061100A">
      <w:pPr>
        <w:pStyle w:val="a6"/>
        <w:rPr>
          <w:sz w:val="26"/>
          <w:szCs w:val="26"/>
          <w:rtl/>
        </w:rPr>
      </w:pPr>
    </w:p>
    <w:p w14:paraId="4E826310" w14:textId="77777777" w:rsidR="0061100A" w:rsidRPr="0061100A" w:rsidRDefault="0061100A" w:rsidP="0061100A">
      <w:pPr>
        <w:pStyle w:val="a6"/>
        <w:numPr>
          <w:ilvl w:val="0"/>
          <w:numId w:val="15"/>
        </w:numPr>
        <w:jc w:val="both"/>
        <w:rPr>
          <w:sz w:val="26"/>
          <w:szCs w:val="26"/>
        </w:rPr>
      </w:pPr>
      <w:r w:rsidRPr="00C4203D">
        <w:rPr>
          <w:rFonts w:hint="cs"/>
          <w:sz w:val="26"/>
          <w:szCs w:val="26"/>
          <w:rtl/>
        </w:rPr>
        <w:t xml:space="preserve">בנוסף נפסק כי, מקום בו מבוקש סעד כספי, הנטייה היא שלא להיעתר לבקשת עיכוב הביצוע מן הטעם שאין מדובר בנזק שאינו בר תיקון ככל שהערעור יתקבל. לכלל זה נקבעו בפסיקה מספר חריגים אשר המשותף להם הוא החשש שמא כאשר מבקש העיכוב יזכה בערעור לאחר שבוצע פסק הדין יהיה זה קשה עד מאוד להשיב את המצב לקדמותו. </w:t>
      </w:r>
    </w:p>
    <w:p w14:paraId="7B1F41BD" w14:textId="77777777" w:rsidR="0061100A" w:rsidRPr="004B1C6D" w:rsidRDefault="0061100A" w:rsidP="0061100A">
      <w:pPr>
        <w:tabs>
          <w:tab w:val="left" w:pos="7920"/>
          <w:tab w:val="left" w:pos="8219"/>
        </w:tabs>
        <w:spacing w:line="360" w:lineRule="auto"/>
        <w:ind w:left="1082" w:right="851"/>
        <w:jc w:val="both"/>
        <w:rPr>
          <w:rFonts w:ascii="David" w:hAnsi="David"/>
          <w:sz w:val="26"/>
        </w:rPr>
      </w:pPr>
      <w:r w:rsidRPr="004B1C6D">
        <w:rPr>
          <w:rFonts w:ascii="David" w:hAnsi="David" w:hint="cs"/>
          <w:sz w:val="26"/>
          <w:rtl/>
        </w:rPr>
        <w:lastRenderedPageBreak/>
        <w:t xml:space="preserve">ראו למשל ע"א 7729/18 </w:t>
      </w:r>
      <w:r w:rsidRPr="004B1C6D">
        <w:rPr>
          <w:rFonts w:ascii="David" w:hAnsi="David" w:hint="cs"/>
          <w:b/>
          <w:bCs/>
          <w:sz w:val="26"/>
          <w:u w:val="single"/>
          <w:rtl/>
        </w:rPr>
        <w:t xml:space="preserve">רכבת ישראל נ' בי </w:t>
      </w:r>
      <w:r w:rsidRPr="004B1C6D">
        <w:rPr>
          <w:rFonts w:ascii="David" w:hAnsi="David"/>
          <w:b/>
          <w:bCs/>
          <w:sz w:val="26"/>
          <w:u w:val="single"/>
          <w:rtl/>
        </w:rPr>
        <w:t>–</w:t>
      </w:r>
      <w:r w:rsidRPr="004B1C6D">
        <w:rPr>
          <w:rFonts w:ascii="David" w:hAnsi="David" w:hint="cs"/>
          <w:b/>
          <w:bCs/>
          <w:sz w:val="26"/>
          <w:u w:val="single"/>
          <w:rtl/>
        </w:rPr>
        <w:t xml:space="preserve"> בי כבישים ענבר ופיתוח בע"מ</w:t>
      </w:r>
      <w:r w:rsidRPr="004B1C6D">
        <w:rPr>
          <w:rFonts w:ascii="David" w:hAnsi="David" w:hint="cs"/>
          <w:sz w:val="26"/>
          <w:rtl/>
        </w:rPr>
        <w:t xml:space="preserve"> (נבו- 7.1.19) פסקאות 17-18. </w:t>
      </w:r>
    </w:p>
    <w:p w14:paraId="7929E332" w14:textId="77777777" w:rsidR="0061100A" w:rsidRPr="004B1C6D" w:rsidRDefault="0061100A" w:rsidP="0061100A">
      <w:pPr>
        <w:tabs>
          <w:tab w:val="left" w:pos="7920"/>
          <w:tab w:val="left" w:pos="8219"/>
        </w:tabs>
        <w:spacing w:line="360" w:lineRule="auto"/>
        <w:ind w:left="1082" w:right="851"/>
        <w:jc w:val="both"/>
        <w:rPr>
          <w:rFonts w:ascii="David" w:hAnsi="David"/>
          <w:sz w:val="26"/>
        </w:rPr>
      </w:pPr>
      <w:r w:rsidRPr="004B1C6D">
        <w:rPr>
          <w:rFonts w:ascii="David" w:hAnsi="David" w:hint="cs"/>
          <w:sz w:val="26"/>
          <w:rtl/>
        </w:rPr>
        <w:t xml:space="preserve">וע"א 3750/21 </w:t>
      </w:r>
      <w:r w:rsidRPr="004B1C6D">
        <w:rPr>
          <w:rFonts w:ascii="David" w:hAnsi="David" w:hint="cs"/>
          <w:b/>
          <w:bCs/>
          <w:sz w:val="26"/>
          <w:u w:val="single"/>
          <w:rtl/>
        </w:rPr>
        <w:t>פלוני נ' פלוני</w:t>
      </w:r>
      <w:r w:rsidRPr="004B1C6D">
        <w:rPr>
          <w:rFonts w:ascii="David" w:hAnsi="David" w:hint="cs"/>
          <w:sz w:val="26"/>
          <w:rtl/>
        </w:rPr>
        <w:t xml:space="preserve"> (נבו </w:t>
      </w:r>
      <w:r w:rsidRPr="004B1C6D">
        <w:rPr>
          <w:rFonts w:ascii="David" w:hAnsi="David"/>
          <w:sz w:val="26"/>
          <w:rtl/>
        </w:rPr>
        <w:t>–</w:t>
      </w:r>
      <w:r w:rsidRPr="004B1C6D">
        <w:rPr>
          <w:rFonts w:ascii="David" w:hAnsi="David" w:hint="cs"/>
          <w:sz w:val="26"/>
          <w:rtl/>
        </w:rPr>
        <w:t xml:space="preserve"> 27.7.21).  </w:t>
      </w:r>
    </w:p>
    <w:p w14:paraId="014D9DAB" w14:textId="308B73A8" w:rsidR="0061100A" w:rsidRDefault="0061100A" w:rsidP="0061100A">
      <w:pPr>
        <w:pStyle w:val="a6"/>
        <w:numPr>
          <w:ilvl w:val="0"/>
          <w:numId w:val="15"/>
        </w:numPr>
        <w:jc w:val="both"/>
        <w:rPr>
          <w:sz w:val="26"/>
          <w:szCs w:val="26"/>
        </w:rPr>
      </w:pPr>
      <w:r>
        <w:rPr>
          <w:rFonts w:hint="cs"/>
          <w:sz w:val="26"/>
          <w:szCs w:val="26"/>
          <w:rtl/>
        </w:rPr>
        <w:t>במקרה דנן</w:t>
      </w:r>
      <w:r w:rsidR="003A24BE">
        <w:rPr>
          <w:rFonts w:hint="cs"/>
          <w:sz w:val="26"/>
          <w:szCs w:val="26"/>
          <w:rtl/>
        </w:rPr>
        <w:t xml:space="preserve"> מבקש המערער לעכב תשלום תגמולים לנכה צה"ל. נכה צה"ל אשר שירת ועודנו משרת את מדינת ישראל בהיותו מתנדב ביחידות </w:t>
      </w:r>
      <w:r w:rsidR="00C4203D">
        <w:rPr>
          <w:rFonts w:hint="cs"/>
          <w:sz w:val="26"/>
          <w:szCs w:val="26"/>
          <w:rtl/>
        </w:rPr>
        <w:t>ביטחוניו</w:t>
      </w:r>
      <w:r w:rsidR="00C4203D">
        <w:rPr>
          <w:rFonts w:hint="eastAsia"/>
          <w:sz w:val="26"/>
          <w:szCs w:val="26"/>
          <w:rtl/>
        </w:rPr>
        <w:t>ת</w:t>
      </w:r>
      <w:r w:rsidR="003A24BE">
        <w:rPr>
          <w:rFonts w:hint="cs"/>
          <w:sz w:val="26"/>
          <w:szCs w:val="26"/>
          <w:rtl/>
        </w:rPr>
        <w:t xml:space="preserve"> ושהינו עו"ד בעיסוקו. </w:t>
      </w:r>
    </w:p>
    <w:p w14:paraId="66BA1BB7" w14:textId="77777777" w:rsidR="003A24BE" w:rsidRDefault="003A24BE" w:rsidP="003A24BE">
      <w:pPr>
        <w:pStyle w:val="a6"/>
        <w:ind w:left="1080"/>
        <w:jc w:val="both"/>
        <w:rPr>
          <w:sz w:val="26"/>
          <w:szCs w:val="26"/>
        </w:rPr>
      </w:pPr>
    </w:p>
    <w:p w14:paraId="69B03C94" w14:textId="749A38CF" w:rsidR="003A24BE" w:rsidRDefault="003A24BE" w:rsidP="0061100A">
      <w:pPr>
        <w:pStyle w:val="a6"/>
        <w:numPr>
          <w:ilvl w:val="0"/>
          <w:numId w:val="15"/>
        </w:numPr>
        <w:jc w:val="both"/>
        <w:rPr>
          <w:sz w:val="26"/>
          <w:szCs w:val="26"/>
        </w:rPr>
      </w:pPr>
      <w:r>
        <w:rPr>
          <w:rFonts w:hint="cs"/>
          <w:sz w:val="26"/>
          <w:szCs w:val="26"/>
          <w:rtl/>
        </w:rPr>
        <w:t xml:space="preserve">הנה כי כן, המדובר הוא בעיכוב תשלום תגמולים שהינו סעד כספי והנטיה היא שלא להיעתר לבקשת בנסיבות כגון דא, </w:t>
      </w:r>
      <w:r w:rsidR="00C4203D">
        <w:rPr>
          <w:rFonts w:hint="cs"/>
          <w:sz w:val="26"/>
          <w:szCs w:val="26"/>
          <w:rtl/>
        </w:rPr>
        <w:t>כמפורט לעיל, מכיוון שבמקרה בו</w:t>
      </w:r>
      <w:r>
        <w:rPr>
          <w:rFonts w:hint="cs"/>
          <w:sz w:val="26"/>
          <w:szCs w:val="26"/>
          <w:rtl/>
        </w:rPr>
        <w:t xml:space="preserve"> יתקבל הערעור לא יהיה קושי להשיב את המצב לקדמותו.</w:t>
      </w:r>
    </w:p>
    <w:p w14:paraId="6B82E96F" w14:textId="77777777" w:rsidR="009C2CDC" w:rsidRPr="009C2CDC" w:rsidRDefault="009C2CDC" w:rsidP="009C2CDC">
      <w:pPr>
        <w:pStyle w:val="a6"/>
        <w:rPr>
          <w:sz w:val="26"/>
          <w:szCs w:val="26"/>
          <w:rtl/>
        </w:rPr>
      </w:pPr>
    </w:p>
    <w:p w14:paraId="487FD7B4" w14:textId="309B0BE3" w:rsidR="009C2CDC" w:rsidRDefault="009C2CDC" w:rsidP="0061100A">
      <w:pPr>
        <w:pStyle w:val="a6"/>
        <w:numPr>
          <w:ilvl w:val="0"/>
          <w:numId w:val="15"/>
        </w:numPr>
        <w:jc w:val="both"/>
        <w:rPr>
          <w:sz w:val="26"/>
          <w:szCs w:val="26"/>
        </w:rPr>
      </w:pPr>
      <w:r>
        <w:rPr>
          <w:rFonts w:hint="cs"/>
          <w:sz w:val="26"/>
          <w:szCs w:val="26"/>
          <w:rtl/>
        </w:rPr>
        <w:t xml:space="preserve">ביחס לסיכויי הערעור </w:t>
      </w:r>
      <w:r>
        <w:rPr>
          <w:sz w:val="26"/>
          <w:szCs w:val="26"/>
          <w:rtl/>
        </w:rPr>
        <w:t>–</w:t>
      </w:r>
      <w:r>
        <w:rPr>
          <w:rFonts w:hint="cs"/>
          <w:sz w:val="26"/>
          <w:szCs w:val="26"/>
          <w:rtl/>
        </w:rPr>
        <w:t xml:space="preserve"> כפי שציין המערער בערעורו, עובר להגשת הערעור (5 ימים ובחלוף 55 ימים ממועד מתן פסק הדין מושא הערעור!) הגיש המערער לערכאה הדיונית בקשה </w:t>
      </w:r>
      <w:r w:rsidR="00E0350E">
        <w:rPr>
          <w:rFonts w:hint="cs"/>
          <w:sz w:val="26"/>
          <w:szCs w:val="26"/>
          <w:rtl/>
        </w:rPr>
        <w:t>להבהרה</w:t>
      </w:r>
      <w:r w:rsidR="00795B21">
        <w:rPr>
          <w:rFonts w:hint="cs"/>
          <w:sz w:val="26"/>
          <w:szCs w:val="26"/>
          <w:rtl/>
        </w:rPr>
        <w:t>, משלא ניתנה החלטה בתוך 5 ימים הגיש המערער את ערעורו. אילו היה מדובר בטעות מובהקת שאין ולא יכולה להיות מחלוקת בעניינה ודאי שלא היה פועל כן, אלא, ממתין להחלטה בבקשת ההבהרה</w:t>
      </w:r>
      <w:r w:rsidR="00563016">
        <w:rPr>
          <w:rFonts w:hint="cs"/>
          <w:sz w:val="26"/>
          <w:szCs w:val="26"/>
          <w:rtl/>
        </w:rPr>
        <w:t xml:space="preserve"> אשר לשיטתו הייתה צריכה לייתר את הערעור. </w:t>
      </w:r>
      <w:r w:rsidR="00795B21">
        <w:rPr>
          <w:rFonts w:hint="cs"/>
          <w:sz w:val="26"/>
          <w:szCs w:val="26"/>
          <w:rtl/>
        </w:rPr>
        <w:t>מכאן שגם לשיטת המערער אין המדובר בטעות.</w:t>
      </w:r>
    </w:p>
    <w:p w14:paraId="1E47E60E" w14:textId="77777777" w:rsidR="00795B21" w:rsidRPr="00795B21" w:rsidRDefault="00795B21" w:rsidP="00795B21">
      <w:pPr>
        <w:pStyle w:val="a6"/>
        <w:rPr>
          <w:sz w:val="26"/>
          <w:szCs w:val="26"/>
          <w:rtl/>
        </w:rPr>
      </w:pPr>
    </w:p>
    <w:p w14:paraId="2578970F" w14:textId="69BCFDEF" w:rsidR="00795B21" w:rsidRDefault="00795B21" w:rsidP="0061100A">
      <w:pPr>
        <w:pStyle w:val="a6"/>
        <w:numPr>
          <w:ilvl w:val="0"/>
          <w:numId w:val="15"/>
        </w:numPr>
        <w:jc w:val="both"/>
        <w:rPr>
          <w:sz w:val="26"/>
          <w:szCs w:val="26"/>
        </w:rPr>
      </w:pPr>
      <w:r>
        <w:rPr>
          <w:rFonts w:hint="cs"/>
          <w:sz w:val="26"/>
          <w:szCs w:val="26"/>
          <w:rtl/>
        </w:rPr>
        <w:t xml:space="preserve">מבלי להיכנס לטענות המשיב לערעור גופא, יצויין כי טענות המערער, על אף הצגתן בצורה נחרצת </w:t>
      </w:r>
      <w:r w:rsidR="00563016">
        <w:rPr>
          <w:rFonts w:hint="cs"/>
          <w:sz w:val="26"/>
          <w:szCs w:val="26"/>
          <w:rtl/>
        </w:rPr>
        <w:t>דינן להידחות.</w:t>
      </w:r>
    </w:p>
    <w:p w14:paraId="5799D311" w14:textId="77777777" w:rsidR="00795B21" w:rsidRPr="00795B21" w:rsidRDefault="00795B21" w:rsidP="00795B21">
      <w:pPr>
        <w:pStyle w:val="a6"/>
        <w:rPr>
          <w:sz w:val="26"/>
          <w:szCs w:val="26"/>
          <w:rtl/>
        </w:rPr>
      </w:pPr>
    </w:p>
    <w:p w14:paraId="06E9EF9B" w14:textId="1266AE7E" w:rsidR="00795B21" w:rsidRDefault="00795B21" w:rsidP="0061100A">
      <w:pPr>
        <w:pStyle w:val="a6"/>
        <w:numPr>
          <w:ilvl w:val="0"/>
          <w:numId w:val="15"/>
        </w:numPr>
        <w:jc w:val="both"/>
        <w:rPr>
          <w:sz w:val="26"/>
          <w:szCs w:val="26"/>
        </w:rPr>
      </w:pPr>
      <w:r>
        <w:rPr>
          <w:rFonts w:hint="cs"/>
          <w:sz w:val="26"/>
          <w:szCs w:val="26"/>
          <w:rtl/>
        </w:rPr>
        <w:t>לוועדת הערעורים סמכות טבועה בדין. מעבר לכך, וגם אם תתקבל הטענה כי סמכות זו אינה ניתנה לה בדין, יטען המערער כי הוועדה קנתה סמכות שעה שב"כ המערער (המשיב בהליך מושא הערעור) התייחס בחקירה נגדית לגובה הנכות ושיעורה.</w:t>
      </w:r>
    </w:p>
    <w:p w14:paraId="686A7C71" w14:textId="77777777" w:rsidR="00795B21" w:rsidRPr="00795B21" w:rsidRDefault="00795B21" w:rsidP="00795B21">
      <w:pPr>
        <w:pStyle w:val="a6"/>
        <w:rPr>
          <w:sz w:val="26"/>
          <w:szCs w:val="26"/>
          <w:rtl/>
        </w:rPr>
      </w:pPr>
    </w:p>
    <w:p w14:paraId="7799F575" w14:textId="39883E5E" w:rsidR="00795B21" w:rsidRDefault="00795B21" w:rsidP="0061100A">
      <w:pPr>
        <w:pStyle w:val="a6"/>
        <w:numPr>
          <w:ilvl w:val="0"/>
          <w:numId w:val="15"/>
        </w:numPr>
        <w:jc w:val="both"/>
        <w:rPr>
          <w:sz w:val="26"/>
          <w:szCs w:val="26"/>
        </w:rPr>
      </w:pPr>
      <w:r>
        <w:rPr>
          <w:rFonts w:hint="cs"/>
          <w:sz w:val="26"/>
          <w:szCs w:val="26"/>
          <w:rtl/>
        </w:rPr>
        <w:t>טענת המערער לפיה אין לועדת הערעורים סמכות לקבוע נכות נכונה בנסיבות מסויימות אשר נדונו במקרים שאוזכרו, אולם, אין בכך כדי לקבוע מסמרות</w:t>
      </w:r>
      <w:r w:rsidR="00563016">
        <w:rPr>
          <w:rFonts w:hint="cs"/>
          <w:sz w:val="26"/>
          <w:szCs w:val="26"/>
          <w:rtl/>
        </w:rPr>
        <w:t xml:space="preserve"> וכל מקרה לגופו.</w:t>
      </w:r>
    </w:p>
    <w:p w14:paraId="0005EF65" w14:textId="77777777" w:rsidR="00795B21" w:rsidRPr="00795B21" w:rsidRDefault="00795B21" w:rsidP="00795B21">
      <w:pPr>
        <w:pStyle w:val="a6"/>
        <w:rPr>
          <w:sz w:val="26"/>
          <w:szCs w:val="26"/>
          <w:rtl/>
        </w:rPr>
      </w:pPr>
    </w:p>
    <w:p w14:paraId="28F6E544" w14:textId="2929F370" w:rsidR="00795B21" w:rsidRDefault="00795B21" w:rsidP="0061100A">
      <w:pPr>
        <w:pStyle w:val="a6"/>
        <w:numPr>
          <w:ilvl w:val="0"/>
          <w:numId w:val="15"/>
        </w:numPr>
        <w:jc w:val="both"/>
        <w:rPr>
          <w:sz w:val="26"/>
          <w:szCs w:val="26"/>
        </w:rPr>
      </w:pPr>
      <w:r>
        <w:rPr>
          <w:rFonts w:hint="cs"/>
          <w:sz w:val="26"/>
          <w:szCs w:val="26"/>
          <w:rtl/>
        </w:rPr>
        <w:t xml:space="preserve">מכל המקובץ יתבקש בית המשפט הנכבד לדחות את הבקשה, להורות למערער למלא אחר הוראות פסק הדין על כל מרכיביו (תשלום תגמולים והכרה </w:t>
      </w:r>
      <w:r w:rsidR="00921CEB">
        <w:rPr>
          <w:rFonts w:hint="cs"/>
          <w:sz w:val="26"/>
          <w:szCs w:val="26"/>
          <w:rtl/>
        </w:rPr>
        <w:t>כנכה צה"ל) ולחייב את המערער בהוצאות הבקשה, הוצאות התגובה והוצאות התנהלותו המפורטת.</w:t>
      </w:r>
    </w:p>
    <w:p w14:paraId="386D91CF" w14:textId="77777777" w:rsidR="00921CEB" w:rsidRPr="00921CEB" w:rsidRDefault="00921CEB" w:rsidP="00921CEB">
      <w:pPr>
        <w:pStyle w:val="a6"/>
        <w:rPr>
          <w:sz w:val="26"/>
          <w:szCs w:val="26"/>
          <w:rtl/>
        </w:rPr>
      </w:pPr>
    </w:p>
    <w:p w14:paraId="46B251AC" w14:textId="2CB48CAE" w:rsidR="009A3E44" w:rsidRDefault="009A3E44" w:rsidP="009A3E44">
      <w:pPr>
        <w:pStyle w:val="a6"/>
        <w:jc w:val="both"/>
        <w:rPr>
          <w:sz w:val="26"/>
          <w:szCs w:val="26"/>
          <w:rtl/>
        </w:rPr>
      </w:pPr>
    </w:p>
    <w:p w14:paraId="41F40741" w14:textId="484CBD4E" w:rsidR="009A3E44" w:rsidRPr="009A3E44" w:rsidRDefault="00563016" w:rsidP="009A3E44">
      <w:pPr>
        <w:pStyle w:val="a6"/>
        <w:jc w:val="both"/>
        <w:rPr>
          <w:sz w:val="26"/>
          <w:szCs w:val="26"/>
          <w:rtl/>
        </w:rPr>
      </w:pPr>
      <w:r>
        <w:rPr>
          <w:noProof/>
          <w:rtl/>
        </w:rPr>
        <w:pict w14:anchorId="0EC9B997">
          <v:rect id="דיו 31" o:spid="_x0000_s1026" style="position:absolute;left:0;text-align:left;margin-left:-42.7pt;margin-top:-5.7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illed="f" strokecolor="#1212c6" strokeweight="1mm">
            <v:stroke endcap="round"/>
            <v:path shadowok="f" o:extrusionok="f" fillok="f" insetpenok="f"/>
            <o:lock v:ext="edit" rotation="t" aspectratio="t" verticies="t" text="t" shapetype="t"/>
            <o:ink i="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" annotation="t"/>
          </v:rect>
        </w:pict>
      </w:r>
    </w:p>
    <w:p w14:paraId="49C7254D" w14:textId="77777777" w:rsidR="00F12CE0" w:rsidRPr="008F2304" w:rsidRDefault="00F12CE0" w:rsidP="00525C68">
      <w:pPr>
        <w:ind w:left="5040" w:firstLine="720"/>
        <w:jc w:val="both"/>
        <w:rPr>
          <w:rtl/>
        </w:rPr>
      </w:pPr>
      <w:r w:rsidRPr="008F2304">
        <w:rPr>
          <w:rFonts w:hint="cs"/>
          <w:rtl/>
        </w:rPr>
        <w:t>_______</w:t>
      </w:r>
      <w:r w:rsidR="00525C68">
        <w:rPr>
          <w:rFonts w:hint="cs"/>
          <w:rtl/>
        </w:rPr>
        <w:t>__</w:t>
      </w:r>
      <w:r w:rsidRPr="008F2304">
        <w:rPr>
          <w:rFonts w:hint="cs"/>
          <w:rtl/>
        </w:rPr>
        <w:t>______</w:t>
      </w:r>
    </w:p>
    <w:p w14:paraId="77EEC8E5" w14:textId="77777777" w:rsidR="00F12CE0" w:rsidRPr="00525C68" w:rsidRDefault="00525C68" w:rsidP="0062478F">
      <w:pPr>
        <w:jc w:val="both"/>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0062478F" w:rsidRPr="00525C68">
        <w:rPr>
          <w:rFonts w:hint="cs"/>
          <w:b/>
          <w:bCs/>
          <w:rtl/>
        </w:rPr>
        <w:t>אריאל פרייברג</w:t>
      </w:r>
      <w:r w:rsidR="00F12CE0" w:rsidRPr="00525C68">
        <w:rPr>
          <w:b/>
          <w:bCs/>
          <w:rtl/>
        </w:rPr>
        <w:t>, עו"ד</w:t>
      </w:r>
    </w:p>
    <w:p w14:paraId="1E9DF5CD" w14:textId="7DA83366" w:rsidR="00AA0BEA" w:rsidRPr="00525C68" w:rsidRDefault="00F12CE0" w:rsidP="009E01D3">
      <w:pPr>
        <w:rPr>
          <w:b/>
          <w:bCs/>
          <w:color w:val="000000"/>
          <w:rtl/>
        </w:rPr>
      </w:pP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00BD710C" w:rsidRPr="00525C68">
        <w:rPr>
          <w:rFonts w:hint="cs"/>
          <w:b/>
          <w:bCs/>
          <w:rtl/>
        </w:rPr>
        <w:tab/>
      </w:r>
      <w:r w:rsidR="00BD710C" w:rsidRPr="00525C68">
        <w:rPr>
          <w:rFonts w:hint="cs"/>
          <w:b/>
          <w:bCs/>
          <w:rtl/>
        </w:rPr>
        <w:tab/>
      </w:r>
      <w:r w:rsidRPr="00525C68">
        <w:rPr>
          <w:rFonts w:hint="cs"/>
          <w:b/>
          <w:bCs/>
          <w:rtl/>
        </w:rPr>
        <w:t xml:space="preserve">ב"כ          </w:t>
      </w:r>
      <w:r w:rsidR="00921CEB">
        <w:rPr>
          <w:rFonts w:hint="cs"/>
          <w:b/>
          <w:bCs/>
          <w:rtl/>
        </w:rPr>
        <w:t>המשיב</w:t>
      </w:r>
    </w:p>
    <w:sectPr w:rsidR="00AA0BEA" w:rsidRPr="00525C68" w:rsidSect="00AA0BEA">
      <w:headerReference w:type="even" r:id="rId8"/>
      <w:footerReference w:type="even" r:id="rId9"/>
      <w:pgSz w:w="11906" w:h="16838"/>
      <w:pgMar w:top="1440" w:right="1797" w:bottom="1440"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53640" w14:textId="77777777" w:rsidR="00335A05" w:rsidRDefault="00335A05" w:rsidP="00970E07">
      <w:r>
        <w:separator/>
      </w:r>
    </w:p>
  </w:endnote>
  <w:endnote w:type="continuationSeparator" w:id="0">
    <w:p w14:paraId="2587F624" w14:textId="77777777" w:rsidR="00335A05" w:rsidRDefault="00335A05"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27BA"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61E6DAF7"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706B321C" w14:textId="540BB4C2"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BE4BB9">
      <w:rPr>
        <w:rFonts w:cs="Times New Roman"/>
        <w:noProof/>
        <w:color w:val="000000"/>
        <w:sz w:val="14"/>
        <w:szCs w:val="14"/>
      </w:rPr>
      <w:t>C:\Users\ariel\OneDrive</w:t>
    </w:r>
    <w:r w:rsidR="00BE4BB9">
      <w:rPr>
        <w:rFonts w:cs="Times New Roman"/>
        <w:noProof/>
        <w:color w:val="000000"/>
        <w:sz w:val="14"/>
        <w:szCs w:val="14"/>
        <w:rtl/>
      </w:rPr>
      <w:t>\דורון טלמור\בקשה למתן החלטה.</w:t>
    </w:r>
    <w:r w:rsidR="00BE4BB9">
      <w:rPr>
        <w:rFonts w:cs="Times New Roman"/>
        <w:noProof/>
        <w:color w:val="000000"/>
        <w:sz w:val="14"/>
        <w:szCs w:val="14"/>
      </w:rPr>
      <w:t>docx</w:t>
    </w:r>
    <w:r>
      <w:rPr>
        <w:rFonts w:cs="Times New Roman"/>
        <w:color w:val="000000"/>
        <w:sz w:val="14"/>
        <w:szCs w:val="14"/>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D7871" w14:textId="77777777" w:rsidR="00335A05" w:rsidRDefault="00335A05" w:rsidP="00970E07">
      <w:r>
        <w:separator/>
      </w:r>
    </w:p>
  </w:footnote>
  <w:footnote w:type="continuationSeparator" w:id="0">
    <w:p w14:paraId="27758B94" w14:textId="77777777" w:rsidR="00335A05" w:rsidRDefault="00335A05" w:rsidP="00970E07">
      <w:r>
        <w:continuationSeparator/>
      </w:r>
    </w:p>
  </w:footnote>
  <w:footnote w:id="1">
    <w:p w14:paraId="20BEBEA8" w14:textId="076D9999" w:rsidR="00FC4EEF" w:rsidRPr="00FC4EEF" w:rsidRDefault="00FC4EEF" w:rsidP="00FC4EEF">
      <w:pPr>
        <w:jc w:val="both"/>
        <w:rPr>
          <w:sz w:val="20"/>
          <w:szCs w:val="20"/>
        </w:rPr>
      </w:pPr>
      <w:r w:rsidRPr="00FC4EEF">
        <w:rPr>
          <w:rStyle w:val="a9"/>
          <w:sz w:val="18"/>
          <w:szCs w:val="18"/>
        </w:rPr>
        <w:footnoteRef/>
      </w:r>
      <w:r w:rsidRPr="00FC4EEF">
        <w:rPr>
          <w:sz w:val="18"/>
          <w:szCs w:val="18"/>
          <w:rtl/>
        </w:rPr>
        <w:t xml:space="preserve"> </w:t>
      </w:r>
      <w:r w:rsidRPr="00FC4EEF">
        <w:rPr>
          <w:rFonts w:hint="cs"/>
          <w:sz w:val="20"/>
          <w:szCs w:val="20"/>
          <w:rtl/>
        </w:rPr>
        <w:t xml:space="preserve">ערעור המערער הוגש על סמכות הוועדה לקבוע נכות ושיעורה </w:t>
      </w:r>
      <w:r w:rsidRPr="00FC4EEF">
        <w:rPr>
          <w:sz w:val="20"/>
          <w:szCs w:val="20"/>
          <w:rtl/>
        </w:rPr>
        <w:t>–</w:t>
      </w:r>
      <w:r w:rsidRPr="00FC4EEF">
        <w:rPr>
          <w:rFonts w:hint="cs"/>
          <w:sz w:val="20"/>
          <w:szCs w:val="20"/>
          <w:rtl/>
        </w:rPr>
        <w:t xml:space="preserve"> משמע, אין מחלוקת כי המשיב הינו נכה צה"ל בעל שיעור נכות לגביו ולגביו בכלל יש מחלוקת שעורר המערער. </w:t>
      </w:r>
    </w:p>
    <w:p w14:paraId="19DB0111" w14:textId="50A4ECCD" w:rsidR="00FC4EEF" w:rsidRPr="00FC4EEF" w:rsidRDefault="00FC4EEF">
      <w:pPr>
        <w:pStyle w:val="a7"/>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A1F9"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ענ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28119B8"/>
    <w:multiLevelType w:val="hybridMultilevel"/>
    <w:tmpl w:val="014E5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6"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7"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8" w15:restartNumberingAfterBreak="0">
    <w:nsid w:val="45E062C0"/>
    <w:multiLevelType w:val="hybridMultilevel"/>
    <w:tmpl w:val="0ED8CCF2"/>
    <w:lvl w:ilvl="0" w:tplc="977009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3" w15:restartNumberingAfterBreak="0">
    <w:nsid w:val="753247B2"/>
    <w:multiLevelType w:val="hybridMultilevel"/>
    <w:tmpl w:val="20E8DE9C"/>
    <w:lvl w:ilvl="0" w:tplc="CA3E2104">
      <w:start w:val="1"/>
      <w:numFmt w:val="decimal"/>
      <w:lvlText w:val="%1."/>
      <w:lvlJc w:val="left"/>
      <w:pPr>
        <w:tabs>
          <w:tab w:val="num" w:pos="360"/>
        </w:tabs>
        <w:ind w:left="360" w:hanging="360"/>
      </w:pPr>
      <w:rPr>
        <w:rFonts w:ascii="David" w:hAnsi="David" w:cs="David" w:hint="default"/>
        <w:b w:val="0"/>
        <w:bCs w:val="0"/>
        <w:i w:val="0"/>
        <w:iCs w:val="0"/>
      </w:rPr>
    </w:lvl>
    <w:lvl w:ilvl="1" w:tplc="C4B02264">
      <w:start w:val="1"/>
      <w:numFmt w:val="decimal"/>
      <w:lvlText w:val="%2."/>
      <w:lvlJc w:val="left"/>
      <w:pPr>
        <w:tabs>
          <w:tab w:val="num" w:pos="1080"/>
        </w:tabs>
        <w:ind w:left="1080" w:hanging="360"/>
      </w:pPr>
      <w:rPr>
        <w:b w:val="0"/>
        <w:bCs w:val="0"/>
        <w:i w:val="0"/>
        <w:iCs w:val="0"/>
      </w:rPr>
    </w:lvl>
    <w:lvl w:ilvl="2" w:tplc="0409001B">
      <w:start w:val="1"/>
      <w:numFmt w:val="lowerRoman"/>
      <w:lvlText w:val="%3."/>
      <w:lvlJc w:val="right"/>
      <w:pPr>
        <w:tabs>
          <w:tab w:val="num" w:pos="1800"/>
        </w:tabs>
        <w:ind w:left="1800" w:hanging="180"/>
      </w:pPr>
    </w:lvl>
    <w:lvl w:ilvl="3" w:tplc="713C812E">
      <w:start w:val="3"/>
      <w:numFmt w:val="hebrew1"/>
      <w:lvlText w:val="%4."/>
      <w:lvlJc w:val="left"/>
      <w:pPr>
        <w:tabs>
          <w:tab w:val="num" w:pos="2520"/>
        </w:tabs>
        <w:ind w:left="2520" w:hanging="360"/>
      </w:pPr>
      <w:rPr>
        <w:u w:val="single"/>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543758194">
    <w:abstractNumId w:val="4"/>
  </w:num>
  <w:num w:numId="2" w16cid:durableId="1859613539">
    <w:abstractNumId w:val="5"/>
  </w:num>
  <w:num w:numId="3" w16cid:durableId="1332414622">
    <w:abstractNumId w:val="11"/>
  </w:num>
  <w:num w:numId="4" w16cid:durableId="1718894684">
    <w:abstractNumId w:val="3"/>
  </w:num>
  <w:num w:numId="5" w16cid:durableId="220362209">
    <w:abstractNumId w:val="10"/>
  </w:num>
  <w:num w:numId="6" w16cid:durableId="1130785840">
    <w:abstractNumId w:val="0"/>
  </w:num>
  <w:num w:numId="7" w16cid:durableId="1767799232">
    <w:abstractNumId w:val="6"/>
  </w:num>
  <w:num w:numId="8" w16cid:durableId="243490341">
    <w:abstractNumId w:val="15"/>
  </w:num>
  <w:num w:numId="9" w16cid:durableId="701710994">
    <w:abstractNumId w:val="1"/>
  </w:num>
  <w:num w:numId="10" w16cid:durableId="503126471">
    <w:abstractNumId w:val="7"/>
  </w:num>
  <w:num w:numId="11" w16cid:durableId="750080670">
    <w:abstractNumId w:val="14"/>
  </w:num>
  <w:num w:numId="12" w16cid:durableId="149911247">
    <w:abstractNumId w:val="9"/>
  </w:num>
  <w:num w:numId="13" w16cid:durableId="1505625444">
    <w:abstractNumId w:val="12"/>
  </w:num>
  <w:num w:numId="14" w16cid:durableId="1974208443">
    <w:abstractNumId w:val="2"/>
  </w:num>
  <w:num w:numId="15" w16cid:durableId="22945920">
    <w:abstractNumId w:val="8"/>
  </w:num>
  <w:num w:numId="16" w16cid:durableId="16162517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MyInfo" w:val="This document was extracted from Nevo's site"/>
  </w:docVars>
  <w:rsids>
    <w:rsidRoot w:val="00067DAC"/>
    <w:rsid w:val="00003CD8"/>
    <w:rsid w:val="000178BF"/>
    <w:rsid w:val="00025258"/>
    <w:rsid w:val="00035FA8"/>
    <w:rsid w:val="000422C8"/>
    <w:rsid w:val="000469BE"/>
    <w:rsid w:val="00046D71"/>
    <w:rsid w:val="00062BDD"/>
    <w:rsid w:val="00067DAC"/>
    <w:rsid w:val="00070741"/>
    <w:rsid w:val="00074692"/>
    <w:rsid w:val="00090903"/>
    <w:rsid w:val="000C08B2"/>
    <w:rsid w:val="000C1199"/>
    <w:rsid w:val="000E4468"/>
    <w:rsid w:val="000F100D"/>
    <w:rsid w:val="000F2696"/>
    <w:rsid w:val="000F685F"/>
    <w:rsid w:val="00103077"/>
    <w:rsid w:val="001052A1"/>
    <w:rsid w:val="00116DE9"/>
    <w:rsid w:val="0012249A"/>
    <w:rsid w:val="00127081"/>
    <w:rsid w:val="00142B3A"/>
    <w:rsid w:val="001574CA"/>
    <w:rsid w:val="001618BD"/>
    <w:rsid w:val="001A2C5A"/>
    <w:rsid w:val="001B2A90"/>
    <w:rsid w:val="001C76B5"/>
    <w:rsid w:val="001D3E55"/>
    <w:rsid w:val="001F32B1"/>
    <w:rsid w:val="00206AF6"/>
    <w:rsid w:val="0023175C"/>
    <w:rsid w:val="002339E2"/>
    <w:rsid w:val="002554DA"/>
    <w:rsid w:val="00263F55"/>
    <w:rsid w:val="00265A1E"/>
    <w:rsid w:val="002677C2"/>
    <w:rsid w:val="002A45DF"/>
    <w:rsid w:val="002A6627"/>
    <w:rsid w:val="002B1C41"/>
    <w:rsid w:val="002C24B0"/>
    <w:rsid w:val="002D147C"/>
    <w:rsid w:val="002D2A16"/>
    <w:rsid w:val="002D2F72"/>
    <w:rsid w:val="002D4BEE"/>
    <w:rsid w:val="002E6764"/>
    <w:rsid w:val="002F7CDE"/>
    <w:rsid w:val="003140EA"/>
    <w:rsid w:val="003177E1"/>
    <w:rsid w:val="0033108F"/>
    <w:rsid w:val="00331531"/>
    <w:rsid w:val="00334BF5"/>
    <w:rsid w:val="00335A05"/>
    <w:rsid w:val="00335D4C"/>
    <w:rsid w:val="003461F8"/>
    <w:rsid w:val="00356EAD"/>
    <w:rsid w:val="00356F0E"/>
    <w:rsid w:val="003603A9"/>
    <w:rsid w:val="00365880"/>
    <w:rsid w:val="00371D4B"/>
    <w:rsid w:val="0038405D"/>
    <w:rsid w:val="0039761E"/>
    <w:rsid w:val="003A24BE"/>
    <w:rsid w:val="003C1DF8"/>
    <w:rsid w:val="003F750D"/>
    <w:rsid w:val="00403098"/>
    <w:rsid w:val="004044F2"/>
    <w:rsid w:val="00405D35"/>
    <w:rsid w:val="004105FB"/>
    <w:rsid w:val="004137A6"/>
    <w:rsid w:val="00421091"/>
    <w:rsid w:val="004336CD"/>
    <w:rsid w:val="0043600A"/>
    <w:rsid w:val="004459D7"/>
    <w:rsid w:val="0048048E"/>
    <w:rsid w:val="004823E2"/>
    <w:rsid w:val="004931C4"/>
    <w:rsid w:val="004A062A"/>
    <w:rsid w:val="004C36D0"/>
    <w:rsid w:val="004D62E5"/>
    <w:rsid w:val="004E305A"/>
    <w:rsid w:val="004E78CB"/>
    <w:rsid w:val="004F3109"/>
    <w:rsid w:val="00502428"/>
    <w:rsid w:val="00506417"/>
    <w:rsid w:val="00512672"/>
    <w:rsid w:val="00521AF3"/>
    <w:rsid w:val="00525C68"/>
    <w:rsid w:val="005455D8"/>
    <w:rsid w:val="00563016"/>
    <w:rsid w:val="0056637E"/>
    <w:rsid w:val="00570A0E"/>
    <w:rsid w:val="00575CA4"/>
    <w:rsid w:val="005C15FC"/>
    <w:rsid w:val="005C6D23"/>
    <w:rsid w:val="005D63E8"/>
    <w:rsid w:val="006072AA"/>
    <w:rsid w:val="00610B36"/>
    <w:rsid w:val="0061100A"/>
    <w:rsid w:val="006228D2"/>
    <w:rsid w:val="00623590"/>
    <w:rsid w:val="0062478F"/>
    <w:rsid w:val="00626836"/>
    <w:rsid w:val="00641280"/>
    <w:rsid w:val="00642060"/>
    <w:rsid w:val="006433D9"/>
    <w:rsid w:val="006717AB"/>
    <w:rsid w:val="00674CB0"/>
    <w:rsid w:val="006861CD"/>
    <w:rsid w:val="00691314"/>
    <w:rsid w:val="006944DE"/>
    <w:rsid w:val="00697A06"/>
    <w:rsid w:val="006A0993"/>
    <w:rsid w:val="006B01CA"/>
    <w:rsid w:val="006B3CC7"/>
    <w:rsid w:val="006C4AF1"/>
    <w:rsid w:val="006C62D1"/>
    <w:rsid w:val="006D4B34"/>
    <w:rsid w:val="006F12A3"/>
    <w:rsid w:val="006F1516"/>
    <w:rsid w:val="00704082"/>
    <w:rsid w:val="00725268"/>
    <w:rsid w:val="00732D48"/>
    <w:rsid w:val="00775FDD"/>
    <w:rsid w:val="00782B1A"/>
    <w:rsid w:val="007924DA"/>
    <w:rsid w:val="007930A3"/>
    <w:rsid w:val="00794863"/>
    <w:rsid w:val="00795B21"/>
    <w:rsid w:val="00796D63"/>
    <w:rsid w:val="007A44AD"/>
    <w:rsid w:val="007B2916"/>
    <w:rsid w:val="007B46CA"/>
    <w:rsid w:val="007C0B68"/>
    <w:rsid w:val="007C770F"/>
    <w:rsid w:val="007D2632"/>
    <w:rsid w:val="007D7107"/>
    <w:rsid w:val="007E76E7"/>
    <w:rsid w:val="007F1FED"/>
    <w:rsid w:val="007F5BD6"/>
    <w:rsid w:val="008017A4"/>
    <w:rsid w:val="00801876"/>
    <w:rsid w:val="00805C1A"/>
    <w:rsid w:val="008241BB"/>
    <w:rsid w:val="0082758C"/>
    <w:rsid w:val="00832F85"/>
    <w:rsid w:val="00835E2C"/>
    <w:rsid w:val="00864887"/>
    <w:rsid w:val="0086600A"/>
    <w:rsid w:val="008839B1"/>
    <w:rsid w:val="00887FC0"/>
    <w:rsid w:val="008942EA"/>
    <w:rsid w:val="008B1836"/>
    <w:rsid w:val="008C5A45"/>
    <w:rsid w:val="008C6646"/>
    <w:rsid w:val="008D6F4A"/>
    <w:rsid w:val="008F2304"/>
    <w:rsid w:val="008F3F57"/>
    <w:rsid w:val="008F61BB"/>
    <w:rsid w:val="008F638A"/>
    <w:rsid w:val="008F746D"/>
    <w:rsid w:val="00905010"/>
    <w:rsid w:val="0090615B"/>
    <w:rsid w:val="00921CEB"/>
    <w:rsid w:val="00941962"/>
    <w:rsid w:val="00957D4A"/>
    <w:rsid w:val="00961D28"/>
    <w:rsid w:val="00963389"/>
    <w:rsid w:val="00963F8D"/>
    <w:rsid w:val="00970E07"/>
    <w:rsid w:val="00974CA1"/>
    <w:rsid w:val="009939DD"/>
    <w:rsid w:val="009A3E44"/>
    <w:rsid w:val="009C2CDC"/>
    <w:rsid w:val="009D0117"/>
    <w:rsid w:val="009E01D3"/>
    <w:rsid w:val="009F59C6"/>
    <w:rsid w:val="00A06F26"/>
    <w:rsid w:val="00A27980"/>
    <w:rsid w:val="00A30ADE"/>
    <w:rsid w:val="00A5175A"/>
    <w:rsid w:val="00A6436F"/>
    <w:rsid w:val="00A87021"/>
    <w:rsid w:val="00AA0BEA"/>
    <w:rsid w:val="00AA5A73"/>
    <w:rsid w:val="00AB50D7"/>
    <w:rsid w:val="00AB5900"/>
    <w:rsid w:val="00AC1E6C"/>
    <w:rsid w:val="00AD5908"/>
    <w:rsid w:val="00AE0511"/>
    <w:rsid w:val="00AF62F4"/>
    <w:rsid w:val="00B1238E"/>
    <w:rsid w:val="00B15402"/>
    <w:rsid w:val="00B25E0A"/>
    <w:rsid w:val="00B30EDA"/>
    <w:rsid w:val="00B5359C"/>
    <w:rsid w:val="00B60D0E"/>
    <w:rsid w:val="00B63C8C"/>
    <w:rsid w:val="00B91E3D"/>
    <w:rsid w:val="00B9646F"/>
    <w:rsid w:val="00BA515D"/>
    <w:rsid w:val="00BB0442"/>
    <w:rsid w:val="00BB097A"/>
    <w:rsid w:val="00BC2920"/>
    <w:rsid w:val="00BC2A19"/>
    <w:rsid w:val="00BC6B48"/>
    <w:rsid w:val="00BD173F"/>
    <w:rsid w:val="00BD710C"/>
    <w:rsid w:val="00BE4BB9"/>
    <w:rsid w:val="00BE70E0"/>
    <w:rsid w:val="00BF167A"/>
    <w:rsid w:val="00BF3EFA"/>
    <w:rsid w:val="00C10FDB"/>
    <w:rsid w:val="00C275CE"/>
    <w:rsid w:val="00C30290"/>
    <w:rsid w:val="00C4203D"/>
    <w:rsid w:val="00C5211C"/>
    <w:rsid w:val="00C523E4"/>
    <w:rsid w:val="00C55EC3"/>
    <w:rsid w:val="00C95CA0"/>
    <w:rsid w:val="00CA32CB"/>
    <w:rsid w:val="00CA4054"/>
    <w:rsid w:val="00CB0F50"/>
    <w:rsid w:val="00CC0CE4"/>
    <w:rsid w:val="00CC23F8"/>
    <w:rsid w:val="00CD5393"/>
    <w:rsid w:val="00D17B25"/>
    <w:rsid w:val="00D27C24"/>
    <w:rsid w:val="00D41CB1"/>
    <w:rsid w:val="00D83021"/>
    <w:rsid w:val="00D84A62"/>
    <w:rsid w:val="00DA1A85"/>
    <w:rsid w:val="00DB3DE6"/>
    <w:rsid w:val="00DB456E"/>
    <w:rsid w:val="00DB79E6"/>
    <w:rsid w:val="00DD6326"/>
    <w:rsid w:val="00DE5EAA"/>
    <w:rsid w:val="00E0350E"/>
    <w:rsid w:val="00E218AB"/>
    <w:rsid w:val="00E3354C"/>
    <w:rsid w:val="00E42CCA"/>
    <w:rsid w:val="00EC3D74"/>
    <w:rsid w:val="00ED0772"/>
    <w:rsid w:val="00ED26DE"/>
    <w:rsid w:val="00EE330F"/>
    <w:rsid w:val="00EF2D21"/>
    <w:rsid w:val="00EF2F8F"/>
    <w:rsid w:val="00F01C99"/>
    <w:rsid w:val="00F056EB"/>
    <w:rsid w:val="00F12CE0"/>
    <w:rsid w:val="00F205C2"/>
    <w:rsid w:val="00F26250"/>
    <w:rsid w:val="00F26A6E"/>
    <w:rsid w:val="00F36883"/>
    <w:rsid w:val="00F51BD7"/>
    <w:rsid w:val="00F65DC6"/>
    <w:rsid w:val="00F80F81"/>
    <w:rsid w:val="00F9106B"/>
    <w:rsid w:val="00F944A6"/>
    <w:rsid w:val="00FA452F"/>
    <w:rsid w:val="00FA4634"/>
    <w:rsid w:val="00FB28A3"/>
    <w:rsid w:val="00FC4EEF"/>
    <w:rsid w:val="00FC7CCF"/>
    <w:rsid w:val="00FD3E74"/>
    <w:rsid w:val="00FE4B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2A01E4"/>
  <w15:docId w15:val="{D9CEF102-B7EE-4775-A6C4-C46DE535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CE0"/>
    <w:pPr>
      <w:bidi/>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footnote text"/>
    <w:basedOn w:val="a"/>
    <w:link w:val="a8"/>
    <w:rsid w:val="00DA1A85"/>
    <w:rPr>
      <w:sz w:val="20"/>
      <w:szCs w:val="20"/>
    </w:rPr>
  </w:style>
  <w:style w:type="character" w:customStyle="1" w:styleId="a8">
    <w:name w:val="טקסט הערת שוליים תו"/>
    <w:basedOn w:val="a0"/>
    <w:link w:val="a7"/>
    <w:rsid w:val="00DA1A85"/>
    <w:rPr>
      <w:rFonts w:cs="David"/>
    </w:rPr>
  </w:style>
  <w:style w:type="character" w:styleId="a9">
    <w:name w:val="footnote reference"/>
    <w:basedOn w:val="a0"/>
    <w:rsid w:val="00DA1A85"/>
    <w:rPr>
      <w:vertAlign w:val="superscript"/>
    </w:rPr>
  </w:style>
  <w:style w:type="paragraph" w:styleId="aa">
    <w:name w:val="Balloon Text"/>
    <w:basedOn w:val="a"/>
    <w:link w:val="ab"/>
    <w:rsid w:val="000F685F"/>
    <w:rPr>
      <w:rFonts w:ascii="Tahoma" w:hAnsi="Tahoma" w:cs="Tahoma"/>
      <w:sz w:val="16"/>
      <w:szCs w:val="16"/>
    </w:rPr>
  </w:style>
  <w:style w:type="character" w:customStyle="1" w:styleId="ab">
    <w:name w:val="טקסט בלונים תו"/>
    <w:basedOn w:val="a0"/>
    <w:link w:val="aa"/>
    <w:rsid w:val="000F68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17688-4E3B-4256-8EC4-389DD4BE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935</Words>
  <Characters>4675</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ariel f</cp:lastModifiedBy>
  <cp:revision>7</cp:revision>
  <cp:lastPrinted>2023-07-17T14:54:00Z</cp:lastPrinted>
  <dcterms:created xsi:type="dcterms:W3CDTF">2023-07-24T05:56:00Z</dcterms:created>
  <dcterms:modified xsi:type="dcterms:W3CDTF">2023-07-24T15:08:00Z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DESKTOP-CGFK530</vt:lpwstr>
  </property>
  <property fmtid="{D5CDD505-2E9C-101B-9397-08002B2CF9AE}" pid="45" name="DocCounter">
    <vt:lpwstr>1013440</vt:lpwstr>
  </property>
</Properties>
</file>